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pStyle w:val="Heading2"/>
        <w:spacing w:after="120" w:before="480" w:line="240" w:lineRule="auto"/>
        <w:rPr>
          <w:b w:val="1"/>
          <w:bCs w:val="1"/>
          <w:color w:val="000000"/>
          <w:sz w:val="28"/>
          <w:szCs w:val="28"/>
        </w:rPr>
      </w:pPr>
      <w:bookmarkStart w:colFirst="0" w:colLast="0" w:name="_heading=h.we6dgrq9dgpr" w:id="0"/>
      <w:bookmarkEnd w:id="0"/>
      <w:r w:rsidDel="00000000" w:rsidR="00000000" w:rsidRPr="00000000">
        <w:rPr>
          <w:b w:val="1"/>
          <w:bCs w:val="1"/>
          <w:color w:val="000000"/>
          <w:sz w:val="28"/>
          <w:szCs w:val="28"/>
          <w:rtl w:val="0"/>
        </w:rPr>
        <w:t xml:space="preserve">Lettre de demande pour le logement</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Objet : </w:t>
      </w:r>
      <w:r w:rsidDel="00000000" w:rsidR="00000000" w:rsidRPr="00000000">
        <w:rPr>
          <w:rFonts w:ascii="Times New Roman" w:cs="Times New Roman" w:eastAsia="Times New Roman" w:hAnsi="Times New Roman"/>
          <w:color w:val="000000"/>
          <w:sz w:val="24"/>
          <w:szCs w:val="24"/>
          <w:rtl w:val="0"/>
        </w:rPr>
        <w:t xml:space="preserve">Demande </w:t>
      </w:r>
      <w:r w:rsidDel="00000000" w:rsidR="00000000" w:rsidRPr="00000000">
        <w:rPr>
          <w:rFonts w:ascii="Times New Roman" w:cs="Times New Roman" w:eastAsia="Times New Roman" w:hAnsi="Times New Roman"/>
          <w:sz w:val="24"/>
          <w:szCs w:val="24"/>
          <w:rtl w:val="0"/>
        </w:rPr>
        <w:t xml:space="preserve">d’accommodement</w:t>
      </w:r>
      <w:r w:rsidDel="00000000" w:rsidR="00000000" w:rsidRPr="00000000">
        <w:rPr>
          <w:rFonts w:ascii="Times New Roman" w:cs="Times New Roman" w:eastAsia="Times New Roman" w:hAnsi="Times New Roman"/>
          <w:color w:val="000000"/>
          <w:sz w:val="24"/>
          <w:szCs w:val="24"/>
          <w:rtl w:val="0"/>
        </w:rPr>
        <w:t xml:space="preserve"> – Environnement de vie sans </w:t>
      </w:r>
      <w:r w:rsidDel="00000000" w:rsidR="00000000" w:rsidRPr="00000000">
        <w:rPr>
          <w:rFonts w:ascii="Times New Roman" w:cs="Times New Roman" w:eastAsia="Times New Roman" w:hAnsi="Times New Roman"/>
          <w:sz w:val="24"/>
          <w:szCs w:val="24"/>
          <w:rtl w:val="0"/>
        </w:rPr>
        <w:t xml:space="preserve">fragrances</w:t>
      </w:r>
      <w:r w:rsidDel="00000000" w:rsidR="00000000" w:rsidRPr="00000000">
        <w:rPr>
          <w:rFonts w:ascii="Times New Roman" w:cs="Times New Roman" w:eastAsia="Times New Roman" w:hAnsi="Times New Roman"/>
          <w:color w:val="000000"/>
          <w:sz w:val="24"/>
          <w:szCs w:val="24"/>
          <w:rtl w:val="0"/>
        </w:rPr>
        <w:t xml:space="preserve"> et </w:t>
      </w:r>
      <w:r w:rsidDel="00000000" w:rsidR="00000000" w:rsidRPr="00000000">
        <w:rPr>
          <w:rFonts w:ascii="Times New Roman" w:cs="Times New Roman" w:eastAsia="Times New Roman" w:hAnsi="Times New Roman"/>
          <w:sz w:val="24"/>
          <w:szCs w:val="24"/>
          <w:rtl w:val="0"/>
        </w:rPr>
        <w:t xml:space="preserve">aux plus</w:t>
      </w:r>
      <w:r w:rsidDel="00000000" w:rsidR="00000000" w:rsidRPr="00000000">
        <w:rPr>
          <w:rFonts w:ascii="Times New Roman" w:cs="Times New Roman" w:eastAsia="Times New Roman" w:hAnsi="Times New Roman"/>
          <w:color w:val="000000"/>
          <w:sz w:val="24"/>
          <w:szCs w:val="24"/>
          <w:rtl w:val="0"/>
        </w:rPr>
        <w:t xml:space="preserve"> faibles émissions</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Cher/Ch</w:t>
      </w:r>
      <w:r w:rsidDel="00000000" w:rsidR="00000000" w:rsidRPr="00000000">
        <w:rPr>
          <w:rFonts w:ascii="Times New Roman" w:cs="Times New Roman" w:eastAsia="Times New Roman" w:hAnsi="Times New Roman"/>
          <w:sz w:val="24"/>
          <w:szCs w:val="24"/>
          <w:rtl w:val="0"/>
        </w:rPr>
        <w:t xml:space="preserve">ère</w:t>
      </w:r>
      <w:r w:rsidDel="00000000" w:rsidR="00000000" w:rsidRPr="00000000">
        <w:rPr>
          <w:rFonts w:ascii="Times New Roman" w:cs="Times New Roman" w:eastAsia="Times New Roman" w:hAnsi="Times New Roman"/>
          <w:color w:val="000000"/>
          <w:sz w:val="24"/>
          <w:szCs w:val="24"/>
          <w:rtl w:val="0"/>
        </w:rPr>
        <w:t xml:space="preserve"> [propriétaire / gestionnaire immobilier / fournisseur de logement],</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écris pour vous demander </w:t>
      </w:r>
      <w:r w:rsidDel="00000000" w:rsidR="00000000" w:rsidRPr="00000000">
        <w:rPr>
          <w:rFonts w:ascii="Times New Roman" w:cs="Times New Roman" w:eastAsia="Times New Roman" w:hAnsi="Times New Roman"/>
          <w:sz w:val="24"/>
          <w:szCs w:val="24"/>
          <w:rtl w:val="0"/>
        </w:rPr>
        <w:t xml:space="preserve">des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accommodements liés</w:t>
      </w:r>
      <w:r w:rsidDel="00000000" w:rsidR="00000000" w:rsidRPr="00000000">
        <w:rPr>
          <w:rFonts w:ascii="Times New Roman" w:cs="Times New Roman" w:eastAsia="Times New Roman" w:hAnsi="Times New Roman"/>
          <w:color w:val="000000"/>
          <w:sz w:val="24"/>
          <w:szCs w:val="24"/>
          <w:rtl w:val="0"/>
        </w:rPr>
        <w:t xml:space="preserve"> à </w:t>
      </w:r>
      <w:r w:rsidDel="00000000" w:rsidR="00000000" w:rsidRPr="00000000">
        <w:rPr>
          <w:rFonts w:ascii="Times New Roman" w:cs="Times New Roman" w:eastAsia="Times New Roman" w:hAnsi="Times New Roman"/>
          <w:b w:val="1"/>
          <w:bCs w:val="1"/>
          <w:color w:val="000000"/>
          <w:sz w:val="24"/>
          <w:szCs w:val="24"/>
          <w:rtl w:val="0"/>
        </w:rPr>
        <w:t xml:space="preserve">la sensibilité chimique multiple (</w:t>
      </w:r>
      <w:r w:rsidDel="00000000" w:rsidR="00000000" w:rsidRPr="00000000">
        <w:rPr>
          <w:rFonts w:ascii="Times New Roman" w:cs="Times New Roman" w:eastAsia="Times New Roman" w:hAnsi="Times New Roman"/>
          <w:b w:val="1"/>
          <w:bCs w:val="1"/>
          <w:sz w:val="24"/>
          <w:szCs w:val="24"/>
          <w:rtl w:val="0"/>
        </w:rPr>
        <w:t xml:space="preserve">SCM</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est un handicap et u</w:t>
      </w:r>
      <w:r w:rsidDel="00000000" w:rsidR="00000000" w:rsidRPr="00000000">
        <w:rPr>
          <w:rFonts w:ascii="Times New Roman" w:cs="Times New Roman" w:eastAsia="Times New Roman" w:hAnsi="Times New Roman"/>
          <w:sz w:val="24"/>
          <w:szCs w:val="24"/>
          <w:rtl w:val="0"/>
        </w:rPr>
        <w:t xml:space="preserve">ne condition</w:t>
      </w:r>
      <w:r w:rsidDel="00000000" w:rsidR="00000000" w:rsidRPr="00000000">
        <w:rPr>
          <w:rFonts w:ascii="Times New Roman" w:cs="Times New Roman" w:eastAsia="Times New Roman" w:hAnsi="Times New Roman"/>
          <w:color w:val="000000"/>
          <w:sz w:val="24"/>
          <w:szCs w:val="24"/>
          <w:rtl w:val="0"/>
        </w:rPr>
        <w:t xml:space="preserve"> médicale reconnue dans 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quelle l'exposition à certains produits chimiques, notamment les produits parfumés et autres substances volatiles, peut déclencher des réactions importantes et souvent invalidantes. L'exposition à ces substances dans les espaces intérieurs peut donc créer des obstacles pour les personnes atteintes de 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dans leur environnement résidentiel.</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Une étude récente évaluée par des pairs estime que </w:t>
      </w:r>
      <w:r w:rsidDel="00000000" w:rsidR="00000000" w:rsidRPr="00000000">
        <w:rPr>
          <w:rFonts w:ascii="Times New Roman" w:cs="Times New Roman" w:eastAsia="Times New Roman" w:hAnsi="Times New Roman"/>
          <w:b w:val="1"/>
          <w:bCs w:val="1"/>
          <w:color w:val="000000"/>
          <w:sz w:val="24"/>
          <w:szCs w:val="24"/>
          <w:rtl w:val="0"/>
        </w:rPr>
        <w:t xml:space="preserve">plus de 1,13 million de Canadiens déclarent avoir reçu un diagnostic médical de sensibilité chimique multiple (SCM) </w:t>
      </w:r>
      <w:r w:rsidDel="00000000" w:rsidR="00000000" w:rsidRPr="00000000">
        <w:rPr>
          <w:rFonts w:ascii="Times New Roman" w:cs="Times New Roman" w:eastAsia="Times New Roman" w:hAnsi="Times New Roman"/>
          <w:color w:val="000000"/>
          <w:sz w:val="24"/>
          <w:szCs w:val="24"/>
          <w:rtl w:val="0"/>
        </w:rPr>
        <w:t xml:space="preserve">(Robins, Molot &amp; Peris, 2026).</w:t>
      </w: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Bon nombre des obstacles rencontrés par les personnes atteintes de 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sont d'ordre environnemental et peuvent souvent être réduits grâce à des mesures pratiques. </w:t>
      </w:r>
      <w:r w:rsidDel="00000000" w:rsidR="00000000" w:rsidRPr="00000000">
        <w:rPr>
          <w:rFonts w:ascii="Times New Roman" w:cs="Times New Roman" w:eastAsia="Times New Roman" w:hAnsi="Times New Roman"/>
          <w:b w:val="1"/>
          <w:bCs w:val="1"/>
          <w:color w:val="000000"/>
          <w:sz w:val="24"/>
          <w:szCs w:val="24"/>
          <w:rtl w:val="0"/>
        </w:rPr>
        <w:t xml:space="preserve">Les environnements sans </w:t>
      </w:r>
      <w:r w:rsidDel="00000000" w:rsidR="00000000" w:rsidRPr="00000000">
        <w:rPr>
          <w:rFonts w:ascii="Times New Roman" w:cs="Times New Roman" w:eastAsia="Times New Roman" w:hAnsi="Times New Roman"/>
          <w:b w:val="1"/>
          <w:bCs w:val="1"/>
          <w:sz w:val="24"/>
          <w:szCs w:val="24"/>
          <w:rtl w:val="0"/>
        </w:rPr>
        <w:t xml:space="preserve">fragrances</w:t>
      </w:r>
      <w:r w:rsidDel="00000000" w:rsidR="00000000" w:rsidRPr="00000000">
        <w:rPr>
          <w:rFonts w:ascii="Times New Roman" w:cs="Times New Roman" w:eastAsia="Times New Roman" w:hAnsi="Times New Roman"/>
          <w:b w:val="1"/>
          <w:bCs w:val="1"/>
          <w:color w:val="000000"/>
          <w:sz w:val="24"/>
          <w:szCs w:val="24"/>
          <w:rtl w:val="0"/>
        </w:rPr>
        <w:t xml:space="preserve"> et </w:t>
      </w:r>
      <w:r w:rsidDel="00000000" w:rsidR="00000000" w:rsidRPr="00000000">
        <w:rPr>
          <w:rFonts w:ascii="Times New Roman" w:cs="Times New Roman" w:eastAsia="Times New Roman" w:hAnsi="Times New Roman"/>
          <w:b w:val="1"/>
          <w:bCs w:val="1"/>
          <w:sz w:val="24"/>
          <w:szCs w:val="24"/>
          <w:rtl w:val="0"/>
        </w:rPr>
        <w:t xml:space="preserve">aux plus</w:t>
      </w:r>
      <w:r w:rsidDel="00000000" w:rsidR="00000000" w:rsidRPr="00000000">
        <w:rPr>
          <w:rFonts w:ascii="Times New Roman" w:cs="Times New Roman" w:eastAsia="Times New Roman" w:hAnsi="Times New Roman"/>
          <w:b w:val="1"/>
          <w:bCs w:val="1"/>
          <w:color w:val="000000"/>
          <w:sz w:val="24"/>
          <w:szCs w:val="24"/>
          <w:rtl w:val="0"/>
        </w:rPr>
        <w:t xml:space="preserve"> faibles émissions constituent un a</w:t>
      </w:r>
      <w:r w:rsidDel="00000000" w:rsidR="00000000" w:rsidRPr="00000000">
        <w:rPr>
          <w:rFonts w:ascii="Times New Roman" w:cs="Times New Roman" w:eastAsia="Times New Roman" w:hAnsi="Times New Roman"/>
          <w:b w:val="1"/>
          <w:bCs w:val="1"/>
          <w:sz w:val="24"/>
          <w:szCs w:val="24"/>
          <w:rtl w:val="0"/>
        </w:rPr>
        <w:t xml:space="preserve">ccommodemen</w:t>
      </w:r>
      <w:r w:rsidDel="00000000" w:rsidR="00000000" w:rsidRPr="00000000">
        <w:rPr>
          <w:rFonts w:ascii="Times New Roman" w:cs="Times New Roman" w:eastAsia="Times New Roman" w:hAnsi="Times New Roman"/>
          <w:b w:val="1"/>
          <w:bCs w:val="1"/>
          <w:color w:val="000000"/>
          <w:sz w:val="24"/>
          <w:szCs w:val="24"/>
          <w:rtl w:val="0"/>
        </w:rPr>
        <w:t xml:space="preserve">t simple en matière d'accessibilité </w:t>
      </w:r>
      <w:r w:rsidDel="00000000" w:rsidR="00000000" w:rsidRPr="00000000">
        <w:rPr>
          <w:rFonts w:ascii="Times New Roman" w:cs="Times New Roman" w:eastAsia="Times New Roman" w:hAnsi="Times New Roman"/>
          <w:color w:val="000000"/>
          <w:sz w:val="24"/>
          <w:szCs w:val="24"/>
          <w:rtl w:val="0"/>
        </w:rPr>
        <w:t xml:space="preserve">qui peut contribuer à rendre le logement plus sûr pour les personnes atteintes de 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demande respectueusement que les mesures suivantes soient prises en considération :</w:t>
      </w:r>
      <w:r w:rsidDel="00000000" w:rsidR="00000000" w:rsidRPr="00000000">
        <w:rPr>
          <w:rtl w:val="0"/>
        </w:rPr>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Éviter les produits de nettoyage parfumés dans les espaces communs</w:t>
        <w:br w:type="textWrapping"/>
        <w:t xml:space="preserve">• Éviter les désodorisants ou les produits parfumés dans les espaces communs</w:t>
        <w:br w:type="textWrapping"/>
        <w:t xml:space="preserve">• Utiliser des </w:t>
      </w:r>
      <w:r w:rsidDel="00000000" w:rsidR="00000000" w:rsidRPr="00000000">
        <w:rPr>
          <w:rFonts w:ascii="Times New Roman" w:cs="Times New Roman" w:eastAsia="Times New Roman" w:hAnsi="Times New Roman"/>
          <w:b w:val="1"/>
          <w:bCs w:val="1"/>
          <w:color w:val="000000"/>
          <w:sz w:val="24"/>
          <w:szCs w:val="24"/>
          <w:rtl w:val="0"/>
        </w:rPr>
        <w:t xml:space="preserve">produits d'entretien </w:t>
      </w:r>
      <w:r w:rsidDel="00000000" w:rsidR="00000000" w:rsidRPr="00000000">
        <w:rPr>
          <w:rFonts w:ascii="Times New Roman" w:cs="Times New Roman" w:eastAsia="Times New Roman" w:hAnsi="Times New Roman"/>
          <w:b w:val="1"/>
          <w:bCs w:val="1"/>
          <w:sz w:val="24"/>
          <w:szCs w:val="24"/>
          <w:rtl w:val="0"/>
        </w:rPr>
        <w:t xml:space="preserve">aux plus</w:t>
      </w:r>
      <w:r w:rsidDel="00000000" w:rsidR="00000000" w:rsidRPr="00000000">
        <w:rPr>
          <w:rFonts w:ascii="Times New Roman" w:cs="Times New Roman" w:eastAsia="Times New Roman" w:hAnsi="Times New Roman"/>
          <w:b w:val="1"/>
          <w:bCs w:val="1"/>
          <w:color w:val="000000"/>
          <w:sz w:val="24"/>
          <w:szCs w:val="24"/>
          <w:rtl w:val="0"/>
        </w:rPr>
        <w:t xml:space="preserve"> faibles émissions et </w:t>
      </w:r>
      <w:r w:rsidDel="00000000" w:rsidR="00000000" w:rsidRPr="00000000">
        <w:rPr>
          <w:rFonts w:ascii="Times New Roman" w:cs="Times New Roman" w:eastAsia="Times New Roman" w:hAnsi="Times New Roman"/>
          <w:b w:val="1"/>
          <w:bCs w:val="1"/>
          <w:sz w:val="24"/>
          <w:szCs w:val="24"/>
          <w:rtl w:val="0"/>
        </w:rPr>
        <w:t xml:space="preserve">les moins</w:t>
      </w:r>
      <w:r w:rsidDel="00000000" w:rsidR="00000000" w:rsidRPr="00000000">
        <w:rPr>
          <w:rFonts w:ascii="Times New Roman" w:cs="Times New Roman" w:eastAsia="Times New Roman" w:hAnsi="Times New Roman"/>
          <w:b w:val="1"/>
          <w:bCs w:val="1"/>
          <w:color w:val="000000"/>
          <w:sz w:val="24"/>
          <w:szCs w:val="24"/>
          <w:rtl w:val="0"/>
        </w:rPr>
        <w:t xml:space="preserve"> toxiques</w:t>
      </w:r>
      <w:r w:rsidDel="00000000" w:rsidR="00000000" w:rsidRPr="00000000">
        <w:rPr>
          <w:rFonts w:ascii="Times New Roman" w:cs="Times New Roman" w:eastAsia="Times New Roman" w:hAnsi="Times New Roman"/>
          <w:color w:val="000000"/>
          <w:sz w:val="24"/>
          <w:szCs w:val="24"/>
          <w:rtl w:val="0"/>
        </w:rPr>
        <w:br w:type="textWrapping"/>
        <w:t xml:space="preserve">• Prévenir à l'avance des activités pouvant impliquer une exposition à des produits chimiques, telles que la peinture, l'utilisation de pesticides, les rénovations ou les travaux d'entretien. Lorsque de telles activités sont nécessaires, utiliser </w:t>
      </w:r>
      <w:r w:rsidDel="00000000" w:rsidR="00000000" w:rsidRPr="00000000">
        <w:rPr>
          <w:rFonts w:ascii="Times New Roman" w:cs="Times New Roman" w:eastAsia="Times New Roman" w:hAnsi="Times New Roman"/>
          <w:b w:val="1"/>
          <w:bCs w:val="1"/>
          <w:color w:val="000000"/>
          <w:sz w:val="24"/>
          <w:szCs w:val="24"/>
          <w:rtl w:val="0"/>
        </w:rPr>
        <w:t xml:space="preserve">des alternatives les moins toxiques et les plus écologiques </w:t>
      </w:r>
      <w:r w:rsidDel="00000000" w:rsidR="00000000" w:rsidRPr="00000000">
        <w:rPr>
          <w:rFonts w:ascii="Times New Roman" w:cs="Times New Roman" w:eastAsia="Times New Roman" w:hAnsi="Times New Roman"/>
          <w:color w:val="000000"/>
          <w:sz w:val="24"/>
          <w:szCs w:val="24"/>
          <w:rtl w:val="0"/>
        </w:rPr>
        <w:t xml:space="preserve">possibles</w:t>
      </w: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Ces mesures contribuent à réduire les facteurs environnementaux déclencheurs et favorisent un cadre de vie sûr et sain.</w: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remercie de votre attention et serais ravi de pouvoir discuter de ces</w:t>
      </w:r>
      <w:r w:rsidDel="00000000" w:rsidR="00000000" w:rsidRPr="00000000">
        <w:rPr>
          <w:rFonts w:ascii="Times New Roman" w:cs="Times New Roman" w:eastAsia="Times New Roman" w:hAnsi="Times New Roman"/>
          <w:sz w:val="24"/>
          <w:szCs w:val="24"/>
          <w:rtl w:val="0"/>
        </w:rPr>
        <w:t xml:space="preserve"> accommodements</w:t>
      </w:r>
      <w:r w:rsidDel="00000000" w:rsidR="00000000" w:rsidRPr="00000000">
        <w:rPr>
          <w:rFonts w:ascii="Times New Roman" w:cs="Times New Roman" w:eastAsia="Times New Roman" w:hAnsi="Times New Roman"/>
          <w:color w:val="000000"/>
          <w:sz w:val="24"/>
          <w:szCs w:val="24"/>
          <w:rtl w:val="0"/>
        </w:rPr>
        <w:t xml:space="preserve"> avec vous.</w:t>
      </w: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remercie de l'attention que vous porterez à cette demande.</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Cordialement,</w:t>
        <w:br w:type="textWrapping"/>
        <w:t xml:space="preserve"> [Nom]</w:t>
        <w:br w:type="textWrapping"/>
        <w:t xml:space="preserve"> [Adresse ou numéro d'appartement]</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53F0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53F0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53F0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53F0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53F0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53F0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53F0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53F0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53F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53F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53F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53F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53F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53F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53F0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53F00"/>
    <w:rPr>
      <w:i w:val="1"/>
      <w:iCs w:val="1"/>
      <w:color w:val="404040" w:themeColor="text1" w:themeTint="0000BF"/>
    </w:rPr>
  </w:style>
  <w:style w:type="paragraph" w:styleId="ListParagraph">
    <w:name w:val="List Paragraph"/>
    <w:basedOn w:val="Normal"/>
    <w:uiPriority w:val="34"/>
    <w:qFormat w:val="1"/>
    <w:rsid w:val="00353F00"/>
    <w:pPr>
      <w:ind w:left="720"/>
      <w:contextualSpacing w:val="1"/>
    </w:pPr>
  </w:style>
  <w:style w:type="character" w:styleId="IntenseEmphasis">
    <w:name w:val="Intense Emphasis"/>
    <w:basedOn w:val="DefaultParagraphFont"/>
    <w:uiPriority w:val="21"/>
    <w:qFormat w:val="1"/>
    <w:rsid w:val="00353F00"/>
    <w:rPr>
      <w:i w:val="1"/>
      <w:iCs w:val="1"/>
      <w:color w:val="2f5496" w:themeColor="accent1" w:themeShade="0000BF"/>
    </w:rPr>
  </w:style>
  <w:style w:type="paragraph" w:styleId="IntenseQuote">
    <w:name w:val="Intense Quote"/>
    <w:basedOn w:val="Normal"/>
    <w:next w:val="Normal"/>
    <w:link w:val="IntenseQuoteChar"/>
    <w:uiPriority w:val="30"/>
    <w:qFormat w:val="1"/>
    <w:rsid w:val="00353F0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53F00"/>
    <w:rPr>
      <w:i w:val="1"/>
      <w:iCs w:val="1"/>
      <w:color w:val="2f5496" w:themeColor="accent1" w:themeShade="0000BF"/>
    </w:rPr>
  </w:style>
  <w:style w:type="character" w:styleId="IntenseReference">
    <w:name w:val="Intense Reference"/>
    <w:basedOn w:val="DefaultParagraphFont"/>
    <w:uiPriority w:val="32"/>
    <w:qFormat w:val="1"/>
    <w:rsid w:val="00353F0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o0SYAO7Ao+5w5J7/07dgoHRrw==">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2026-03-11T18:07:00Z</dcterms:created>
  <dc:creator>ASEQ EHAQ</dc:creator>
</cp:coreProperties>
</file>