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v3oryajabkzm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Letter for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80" w:lineRule="auto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Template Letter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e61c7xn6w87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d3yjx9hc9wag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Request Letter for Housing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 for Accommodation – Fragrance-Free and Lowest-Emission Living Environment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[Landlord / Property Manager / Housing Provider],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to request accommodation related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Multiple Chemical Sensitivity (MCS)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MCS is a recognized disability and medical condition in which exposure to certain chemicals ― including fragranced products and other volatile substances ― can trigger significant and often debilitating health reactions. Environmental exposures in indoor spaces can therefore create barriers for individuals with MCS in housing environments.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Recent peer-reviewed research estimates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more than 1.13 million Canadians report a medical diagnosis of Multiple Chemical Sensitivity (MCS)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(Robins, Molot &amp; Peris, 2026).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of the barriers experienced by people with MCS are environmental and can often be reduced through practical measures.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Fragrance-free and lowest-emission environments are a simple accessibility accommodation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can help make housing safer for individuals living with MCS.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respectfully request consideration of the following measures: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Avoidance of fragranced cleaning products in shared areas</w:t>
        <w:br w:type="textWrapping"/>
        <w:t xml:space="preserve">• Avoidance of air fresheners or scented products in common spaces</w:t>
        <w:br w:type="textWrapping"/>
        <w:t xml:space="preserve">• 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lowest-emission and least-toxic cleaning products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• Advance notice of activities that may involve chemical exposures, such as painting, pesticide use, renovations, or maintenance work. Where such activities are necessary, the 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least-toxic and ecological alternatives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used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measures help reduce environmental triggers and support a safe and healthy living environment.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appreciate your consideration and would welcome the opportunity to discuss these accommodations.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attention to this request.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 [Name]</w:t>
        <w:br w:type="textWrapping"/>
        <w:t xml:space="preserve"> [Address or Unit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3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