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pv0bzeqc4p8i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Letter for Workplaces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8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– Template Letter –</w:t>
      </w:r>
    </w:p>
    <w:p w:rsidR="00000000" w:rsidDel="00000000" w:rsidP="00000000" w:rsidRDefault="00000000" w:rsidRPr="00000000" w14:paraId="00000003">
      <w:pPr>
        <w:spacing w:before="48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before="480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bookmarkStart w:colFirst="0" w:colLast="0" w:name="_63fvxco06b2p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Request Letter for Workplaces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Subject: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Request for Fragrance-Free and Lowest-Emission Workplace Accommodation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Dear [Employer / Manager / Human Resources],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am writing to request workplace accommodation related 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Multiple Chemical Sensitivity (MCS)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MCS is a recognized disability and medical condition in which exposure to certain chemicals ― including fragranced products and other volatile substances ― can trigger significant health reactions. Environmental exposures in indoor settings can make it difficult for individuals with MCS to work safely in standard office or workplace settings.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Recent peer-reviewed research estimates that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more than 1.13 million Canadians report a medical diagnosis of Multiple Chemical Sensitivity (MCS)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(Robins, Molot &amp; Peris, 2026).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Many of the barriers experienced by people with MCS are environmental and can often be reduced through practical measures such as appropriate product choice, or source control.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Fragrance-free and lowest-emission indoor environments are a practical, low-cost accessibility accommodation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that can reduce health triggers and improve indoor air quality for many individuals.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respectfully request consideration of the following accommodations: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Adoption of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fragrance-free policy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 the workplace</w:t>
        <w:br w:type="textWrapping"/>
        <w:t xml:space="preserve">• Avoidance of air fresheners and scented products</w:t>
        <w:br w:type="textWrapping"/>
        <w:t xml:space="preserve">• Use of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lowest-emission and least-toxic cleaning products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br w:type="textWrapping"/>
        <w:t xml:space="preserve">• Advance notice of activities that may involve chemical exposures, such as painting, pesticide use, renovations, or maintenance work. Where such activities are necessary, the use of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least-toxic and ecological alternatives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is used</w:t>
        <w:br w:type="textWrapping"/>
        <w:t xml:space="preserve">• Consideration of workspace adjustments if needed, such as the use of an air purifier or access to a closed-door office with a window that can be opened for ventilation.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These measures can significantly reduce barriers for people with MCS while also supporting healthier indoor environments for employees and visitors.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would welcome the opportunity to discuss accommodations that would allow me to participate safely in the workplace.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you for your consideration.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Sincerely,</w:t>
        <w:br w:type="textWrapping"/>
        <w:t xml:space="preserve"> [Name]</w:t>
        <w:br w:type="textWrapping"/>
        <w:t xml:space="preserve"> [Position / Department if applicable]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References</w:t>
      </w:r>
    </w:p>
    <w:p w:rsidR="00000000" w:rsidDel="00000000" w:rsidP="00000000" w:rsidRDefault="00000000" w:rsidRPr="00000000" w14:paraId="00000012">
      <w:pPr>
        <w:spacing w:after="240" w:before="240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Robins, S., Molot, J., &amp; Peris, R. (2026). Prevalence of Multiple Chemical Sensitivity in Canada Between 2000 and 2020.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International Journal of Environmental Research and Public Health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23(2), 236. https://doi.org/10.3390/ijerph23020236</w:t>
      </w:r>
    </w:p>
    <w:p w:rsidR="00000000" w:rsidDel="00000000" w:rsidP="00000000" w:rsidRDefault="00000000" w:rsidRPr="00000000" w14:paraId="00000013">
      <w:pPr>
        <w:spacing w:after="240" w:before="240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Yousufzai, S. J., Psaradellis, E., Peris, R., &amp; Barakat, C. (2025). A Qualitative Exploration of Policy, Institutional, and Social Misconceptions Faced by Individuals with Multiple Chemical Sensitivity.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International Journal of Environmental Research and Public Health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22(9), 1383. https://doi.org/10.3390/ijerph22091383</w:t>
      </w:r>
    </w:p>
    <w:p w:rsidR="00000000" w:rsidDel="00000000" w:rsidP="00000000" w:rsidRDefault="00000000" w:rsidRPr="00000000" w14:paraId="00000014">
      <w:pPr>
        <w:spacing w:after="240" w:before="24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Vangala, K., Molot, J., Trifunovski, A., &amp; Peris, R. (2026). From Invisibility to Inclusion: Evidence, Lived Experience, and Policy Directions for Multiple Chemical Sensitivity Report from the Resilience 2025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International Conference. International Journal of Environmental Research and Public Health,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23(3), 280. https://doi.org/10.3390/ijerph23030280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