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Modèle de lettre –</w:t>
      </w:r>
    </w:p>
    <w:p w:rsidR="00000000" w:rsidDel="00000000" w:rsidP="00000000" w:rsidRDefault="00000000" w:rsidRPr="00000000" w14:paraId="00000002">
      <w:pPr>
        <w:keepNext w:val="0"/>
        <w:keepLines w:val="0"/>
        <w:spacing w:before="480" w:lineRule="auto"/>
        <w:rPr>
          <w:b w:val="1"/>
          <w:bCs w:val="1"/>
        </w:rPr>
      </w:pPr>
      <w:r w:rsidDel="00000000" w:rsidR="00000000" w:rsidRPr="00000000">
        <w:rPr>
          <w:rtl w:val="0"/>
        </w:rPr>
      </w:r>
    </w:p>
    <w:p w:rsidR="00000000" w:rsidDel="00000000" w:rsidP="00000000" w:rsidRDefault="00000000" w:rsidRPr="00000000" w14:paraId="00000003">
      <w:pPr>
        <w:pStyle w:val="Heading2"/>
        <w:keepNext w:val="0"/>
        <w:keepLines w:val="0"/>
        <w:spacing w:before="480" w:lineRule="auto"/>
        <w:rPr>
          <w:rFonts w:ascii="Calibri" w:cs="Calibri" w:eastAsia="Calibri" w:hAnsi="Calibri"/>
          <w:b w:val="1"/>
          <w:bCs w:val="1"/>
          <w:sz w:val="28"/>
          <w:szCs w:val="28"/>
        </w:rPr>
      </w:pPr>
      <w:bookmarkStart w:colFirst="0" w:colLast="0" w:name="_heading=h.m4fwcw85xmke" w:id="0"/>
      <w:bookmarkEnd w:id="0"/>
      <w:r w:rsidDel="00000000" w:rsidR="00000000" w:rsidRPr="00000000">
        <w:rPr>
          <w:rFonts w:ascii="Calibri" w:cs="Calibri" w:eastAsia="Calibri" w:hAnsi="Calibri"/>
          <w:b w:val="1"/>
          <w:bCs w:val="1"/>
          <w:sz w:val="28"/>
          <w:szCs w:val="28"/>
          <w:rtl w:val="0"/>
        </w:rPr>
        <w:t xml:space="preserve">Représentants provinciaux (députés provinciaux)</w:t>
      </w:r>
    </w:p>
    <w:p w:rsidR="00000000" w:rsidDel="00000000" w:rsidP="00000000" w:rsidRDefault="00000000" w:rsidRPr="00000000" w14:paraId="00000004">
      <w:pPr>
        <w:spacing w:after="240" w:before="240" w:lineRule="auto"/>
        <w:rPr>
          <w:b w:val="1"/>
          <w:bCs w:val="1"/>
        </w:rPr>
      </w:pP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 : </w:t>
      </w:r>
      <w:r w:rsidDel="00000000" w:rsidR="00000000" w:rsidRPr="00000000">
        <w:rPr>
          <w:rFonts w:ascii="Times New Roman" w:cs="Times New Roman" w:eastAsia="Times New Roman" w:hAnsi="Times New Roman"/>
          <w:sz w:val="24"/>
          <w:szCs w:val="24"/>
          <w:rtl w:val="0"/>
        </w:rPr>
        <w:t xml:space="preserve">Accessibilité et égalité pour les personnes atteintes de la sensibilité chimique multiple (SCM)</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Cher/Chère [Titre et nom],</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écris au sujet des observations finales publiées en mars 2025 par le Comité des droits des personnes handicapées de l’Organisation des Nations Unies à la suite de son examen du Canada.</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ses conclusions au titre de l'article 5 sur l'égalité et la non-discrimination, le Comité a noté avec préoccupation la discrimination et la stigmatisation persistantes dont sont victimes les personnes handicapées, y compris celles atteintes de la </w:t>
      </w:r>
      <w:r w:rsidDel="00000000" w:rsidR="00000000" w:rsidRPr="00000000">
        <w:rPr>
          <w:rFonts w:ascii="Times New Roman" w:cs="Times New Roman" w:eastAsia="Times New Roman" w:hAnsi="Times New Roman"/>
          <w:b w:val="1"/>
          <w:bCs w:val="1"/>
          <w:sz w:val="24"/>
          <w:szCs w:val="24"/>
          <w:rtl w:val="0"/>
        </w:rPr>
        <w:t xml:space="preserve">sensibilité chimique multiple (SCM)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recherches récentes évaluées par des pairs estiment que </w:t>
      </w:r>
      <w:r w:rsidDel="00000000" w:rsidR="00000000" w:rsidRPr="00000000">
        <w:rPr>
          <w:rFonts w:ascii="Times New Roman" w:cs="Times New Roman" w:eastAsia="Times New Roman" w:hAnsi="Times New Roman"/>
          <w:b w:val="1"/>
          <w:bCs w:val="1"/>
          <w:sz w:val="24"/>
          <w:szCs w:val="24"/>
          <w:rtl w:val="0"/>
        </w:rPr>
        <w:t xml:space="preserve">plus de 1,13 million de Canadiens déclarent avoir reçu un diagnostic médical de SCM</w:t>
      </w:r>
      <w:r w:rsidDel="00000000" w:rsidR="00000000" w:rsidRPr="00000000">
        <w:rPr>
          <w:rFonts w:ascii="Times New Roman" w:cs="Times New Roman" w:eastAsia="Times New Roman" w:hAnsi="Times New Roman"/>
          <w:sz w:val="24"/>
          <w:szCs w:val="24"/>
          <w:rtl w:val="0"/>
        </w:rPr>
        <w:t xml:space="preserve">, ce qui démontre l'importance de s'attaquer aux obstacles qui empêchent les personnes d'accéder en toute sécurité aux soins de santé et à d'autres services essentiels (Robins, Molot &amp; Peris, 2026).</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de nombreuses personnes atteintes de la SCM, l'exposition à leur environnement quotidien, notamment les établissements de santé, les lieux de travail, les écoles et les bâtiments publics, crée souvent des obstacles qui les empêchent d'accéder aux services.</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Comité des Nations Unies a recommandé au Canada d'élaborer </w:t>
      </w:r>
      <w:r w:rsidDel="00000000" w:rsidR="00000000" w:rsidRPr="00000000">
        <w:rPr>
          <w:rFonts w:ascii="Times New Roman" w:cs="Times New Roman" w:eastAsia="Times New Roman" w:hAnsi="Times New Roman"/>
          <w:b w:val="1"/>
          <w:bCs w:val="1"/>
          <w:sz w:val="24"/>
          <w:szCs w:val="24"/>
          <w:rtl w:val="0"/>
        </w:rPr>
        <w:t xml:space="preserve">des stratégies intersectionnelles et intersectorielles </w:t>
      </w:r>
      <w:r w:rsidDel="00000000" w:rsidR="00000000" w:rsidRPr="00000000">
        <w:rPr>
          <w:rFonts w:ascii="Times New Roman" w:cs="Times New Roman" w:eastAsia="Times New Roman" w:hAnsi="Times New Roman"/>
          <w:sz w:val="24"/>
          <w:szCs w:val="24"/>
          <w:rtl w:val="0"/>
        </w:rPr>
        <w:t xml:space="preserve">afin de mettre en œuvre le droit à l'égalité et à la non-discrimination des personnes handicapées, y compris celles atteintes de la SCM, dans toutes les juridictions et toutes les branches du gouvernement.</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gouvernements provinciaux jouent un rôle central dans la garantie de l'accessibilité des systèmes de santé, des logements, des lieux de travail et des institutions publiques. Les politiques qui favorisent </w:t>
      </w:r>
      <w:r w:rsidDel="00000000" w:rsidR="00000000" w:rsidRPr="00000000">
        <w:rPr>
          <w:rFonts w:ascii="Times New Roman" w:cs="Times New Roman" w:eastAsia="Times New Roman" w:hAnsi="Times New Roman"/>
          <w:b w:val="1"/>
          <w:bCs w:val="1"/>
          <w:sz w:val="24"/>
          <w:szCs w:val="24"/>
          <w:rtl w:val="0"/>
        </w:rPr>
        <w:t xml:space="preserve">les environnements sans fragrances et aux plus faibles émissions</w:t>
      </w:r>
      <w:r w:rsidDel="00000000" w:rsidR="00000000" w:rsidRPr="00000000">
        <w:rPr>
          <w:rFonts w:ascii="Times New Roman" w:cs="Times New Roman" w:eastAsia="Times New Roman" w:hAnsi="Times New Roman"/>
          <w:sz w:val="24"/>
          <w:szCs w:val="24"/>
          <w:rtl w:val="0"/>
        </w:rPr>
        <w:t xml:space="preserve">, en particulier dans les établissements de santé, peuvent contribuer à garantir que les personnes atteintes de la SCM puissent accéder aux soins en toute sécurité.</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J'encourage votre bureau à examiner comment les politiques provinciales et les cadres d'accessibilité peuvent lever ces obstacles et favoriser l'égalité d'accès pour les personnes atteintes de la SCM.</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remercie de l'attention que vous porterez à cette question importante.</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Cordialement,</w:t>
        <w:br w:type="textWrapping"/>
        <w:t xml:space="preserve"> [Nom]</w:t>
        <w:br w:type="textWrapping"/>
        <w:t xml:space="preserve"> [Ville / Province]</w:t>
      </w:r>
    </w:p>
    <w:p w:rsidR="00000000" w:rsidDel="00000000" w:rsidP="00000000" w:rsidRDefault="00000000" w:rsidRPr="00000000" w14:paraId="00000011">
      <w:pPr>
        <w:spacing w:after="240" w:before="24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Références</w:t>
      </w:r>
      <w:r w:rsidDel="00000000" w:rsidR="00000000" w:rsidRPr="00000000">
        <w:rPr>
          <w:rtl w:val="0"/>
        </w:rPr>
      </w:r>
    </w:p>
    <w:p w:rsidR="00000000" w:rsidDel="00000000" w:rsidP="00000000" w:rsidRDefault="00000000" w:rsidRPr="00000000" w14:paraId="00000012">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3">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4">
      <w:pPr>
        <w:spacing w:after="240" w:before="240" w:line="259" w:lineRule="auto"/>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NqkVu8IuBdZSgd0iIO1cbIqVg==">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