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Modèle de lettre –</w:t>
      </w:r>
    </w:p>
    <w:p w:rsidR="00000000" w:rsidDel="00000000" w:rsidP="00000000" w:rsidRDefault="00000000" w:rsidRPr="00000000" w14:paraId="00000002">
      <w:pPr>
        <w:pStyle w:val="Heading2"/>
        <w:keepNext w:val="0"/>
        <w:keepLines w:val="0"/>
        <w:spacing w:before="480" w:lineRule="auto"/>
        <w:rPr>
          <w:rFonts w:ascii="Calibri" w:cs="Calibri" w:eastAsia="Calibri" w:hAnsi="Calibri"/>
          <w:b w:val="1"/>
          <w:bCs w:val="1"/>
          <w:sz w:val="28"/>
          <w:szCs w:val="28"/>
        </w:rPr>
      </w:pPr>
      <w:bookmarkStart w:colFirst="0" w:colLast="0" w:name="_heading=h.vvp3yqjknpbm" w:id="0"/>
      <w:bookmarkEnd w:id="0"/>
      <w:r w:rsidDel="00000000" w:rsidR="00000000" w:rsidRPr="00000000">
        <w:rPr>
          <w:rFonts w:ascii="Calibri" w:cs="Calibri" w:eastAsia="Calibri" w:hAnsi="Calibri"/>
          <w:b w:val="1"/>
          <w:bCs w:val="1"/>
          <w:sz w:val="28"/>
          <w:szCs w:val="28"/>
          <w:rtl w:val="0"/>
        </w:rPr>
        <w:t xml:space="preserve">Représentants fédéraux (députés)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Objet : </w:t>
      </w:r>
      <w:r w:rsidDel="00000000" w:rsidR="00000000" w:rsidRPr="00000000">
        <w:rPr>
          <w:rFonts w:ascii="Times New Roman" w:cs="Times New Roman" w:eastAsia="Times New Roman" w:hAnsi="Times New Roman"/>
          <w:sz w:val="24"/>
          <w:szCs w:val="24"/>
          <w:rtl w:val="0"/>
        </w:rPr>
        <w:t xml:space="preserve">Conclusions du Comité des Nations Unies sur les droits des personnes handicapées concernant la sensibilité chimique multiple (SCM) au Canada</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Cher/Chère [député],</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écris pour attirer votre attention sur les observations finales publiées en mars 2025 par le Comité des droits des personnes handicapées de l’Organisation des Nations Unies à la suite de son examen de la mise en œuvre par le Canada de la Convention relative aux droits des personnes handicapées.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ses conclusions au titre de l'article 5 sur l'égalité et la non-discrimination, le Comité a noté avec préoccupation la discrimination et la stigmatisation persistantes dont sont victimes les personnes handicapées, en particulier celles atteintes de la </w:t>
      </w:r>
      <w:r w:rsidDel="00000000" w:rsidR="00000000" w:rsidRPr="00000000">
        <w:rPr>
          <w:rFonts w:ascii="Times New Roman" w:cs="Times New Roman" w:eastAsia="Times New Roman" w:hAnsi="Times New Roman"/>
          <w:b w:val="1"/>
          <w:bCs w:val="1"/>
          <w:sz w:val="24"/>
          <w:szCs w:val="24"/>
          <w:rtl w:val="0"/>
        </w:rPr>
        <w:t xml:space="preserve">sensibilité chimique multiple (SCM)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recherches récentes évaluées par des pairs estiment que </w:t>
      </w:r>
      <w:r w:rsidDel="00000000" w:rsidR="00000000" w:rsidRPr="00000000">
        <w:rPr>
          <w:rFonts w:ascii="Times New Roman" w:cs="Times New Roman" w:eastAsia="Times New Roman" w:hAnsi="Times New Roman"/>
          <w:b w:val="1"/>
          <w:bCs w:val="1"/>
          <w:sz w:val="24"/>
          <w:szCs w:val="24"/>
          <w:rtl w:val="0"/>
        </w:rPr>
        <w:t xml:space="preserve">plus de 1,13 million de Canadiens déclarent avoir reçu un diagnostic médical de SCM</w:t>
      </w:r>
      <w:r w:rsidDel="00000000" w:rsidR="00000000" w:rsidRPr="00000000">
        <w:rPr>
          <w:rFonts w:ascii="Times New Roman" w:cs="Times New Roman" w:eastAsia="Times New Roman" w:hAnsi="Times New Roman"/>
          <w:sz w:val="24"/>
          <w:szCs w:val="24"/>
          <w:rtl w:val="0"/>
        </w:rPr>
        <w:t xml:space="preserve">, soulignant l'importance de s'attaquer aux obstacles qui empêchent de nombreuses personnes d'accéder aux soins de santé et à d'autres services essentiels (Robins, Molot &amp; Peris, 2026).</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de nombreuses personnes atteintes de la SCM, l'exposition environnementale dans les lieux de la vie quotidienne, notamment les établissements de santé, les lieux de travail, les logements et les espaces publics, crée souvent des obstacles qui rendent difficile, voire impossible, l'accès aux services en toute sécurité.</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Comité des Nations Unies a recommandé au Canada d'élaborer </w:t>
      </w:r>
      <w:r w:rsidDel="00000000" w:rsidR="00000000" w:rsidRPr="00000000">
        <w:rPr>
          <w:rFonts w:ascii="Times New Roman" w:cs="Times New Roman" w:eastAsia="Times New Roman" w:hAnsi="Times New Roman"/>
          <w:b w:val="1"/>
          <w:bCs w:val="1"/>
          <w:sz w:val="24"/>
          <w:szCs w:val="24"/>
          <w:rtl w:val="0"/>
        </w:rPr>
        <w:t xml:space="preserve">des stratégies intersectionnelles et intersectorielles </w:t>
      </w:r>
      <w:r w:rsidDel="00000000" w:rsidR="00000000" w:rsidRPr="00000000">
        <w:rPr>
          <w:rFonts w:ascii="Times New Roman" w:cs="Times New Roman" w:eastAsia="Times New Roman" w:hAnsi="Times New Roman"/>
          <w:sz w:val="24"/>
          <w:szCs w:val="24"/>
          <w:rtl w:val="0"/>
        </w:rPr>
        <w:t xml:space="preserve">pour mettre en œuvre le droit à l'égalité et à la non-discrimination des personnes handicapées, y compris celles atteintes de la SCM.</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mesures qui s'attaquent aux obstacles environnementaux, telles que </w:t>
      </w:r>
      <w:r w:rsidDel="00000000" w:rsidR="00000000" w:rsidRPr="00000000">
        <w:rPr>
          <w:rFonts w:ascii="Times New Roman" w:cs="Times New Roman" w:eastAsia="Times New Roman" w:hAnsi="Times New Roman"/>
          <w:b w:val="1"/>
          <w:bCs w:val="1"/>
          <w:sz w:val="24"/>
          <w:szCs w:val="24"/>
          <w:rtl w:val="0"/>
        </w:rPr>
        <w:t xml:space="preserve">les politiques sans fragrances et aux plus faibles émissions dans les institutions publiques, y compris les établissements de santé, </w:t>
      </w:r>
      <w:r w:rsidDel="00000000" w:rsidR="00000000" w:rsidRPr="00000000">
        <w:rPr>
          <w:rFonts w:ascii="Times New Roman" w:cs="Times New Roman" w:eastAsia="Times New Roman" w:hAnsi="Times New Roman"/>
          <w:sz w:val="24"/>
          <w:szCs w:val="24"/>
          <w:rtl w:val="0"/>
        </w:rPr>
        <w:t xml:space="preserve">peuvent contribuer à garantir que les personnes atteintes de la SCM puissent accéder aux services en toute sécurité et participer pleinement à la vie publique.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J'encourage le gouvernement du Canada à prendre en considération les observations du Comité des Nations Unies et à travailler avec les communautés concernées pour veiller à ce que les personnes atteintes de la SCM soient incluses dans les politiques relatives au handicap, les initiatives en matière d'accessibilité et la planification de la santé publique.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remercie de l'attention que vous porterez à cette question.</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Cordialement,</w:t>
        <w:br w:type="textWrapping"/>
        <w:t xml:space="preserve"> [Nom]</w:t>
        <w:br w:type="textWrapping"/>
        <w:t xml:space="preserve"> [Ville / Province]</w:t>
      </w:r>
    </w:p>
    <w:p w:rsidR="00000000" w:rsidDel="00000000" w:rsidP="00000000" w:rsidRDefault="00000000" w:rsidRPr="00000000" w14:paraId="0000000F">
      <w:pPr>
        <w:spacing w:after="240" w:before="24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Références</w:t>
      </w:r>
      <w:r w:rsidDel="00000000" w:rsidR="00000000" w:rsidRPr="00000000">
        <w:rPr>
          <w:rtl w:val="0"/>
        </w:rPr>
      </w:r>
    </w:p>
    <w:p w:rsidR="00000000" w:rsidDel="00000000" w:rsidP="00000000" w:rsidRDefault="00000000" w:rsidRPr="00000000" w14:paraId="00000010">
      <w:pPr>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 (Prévalence de la sensibilité chimique multiple au Canada entre 2000 et 2020).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1">
      <w:pPr>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(Une exploration qualitative des idées fausses politiques, institutionnelles et sociales auxquelles sont confrontées les personnes atteintes de sensibilité chimique multiple).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2">
      <w:pPr>
        <w:spacing w:after="240" w:before="240" w:line="259" w:lineRule="auto"/>
        <w:rPr>
          <w:i w:val="1"/>
          <w:iCs w:val="1"/>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(De l'invisibilité à l'inclusion : preuves, expériences vécues et orientations politiques pour la sensibilité chimique multiple). Rapport de la conférence internationale Resilience 2025.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YdX5UPN1987u9o06+ZSzrYsmg==">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