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t xml:space="preserve">– </w:t>
      </w:r>
      <w:r w:rsidDel="00000000" w:rsidR="00000000" w:rsidRPr="00000000">
        <w:rPr>
          <w:b w:val="1"/>
          <w:bCs w:val="1"/>
          <w:rtl w:val="0"/>
        </w:rPr>
        <w:t xml:space="preserve">MODÈLE DE LETTRE A5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pStyle w:val="Heading3"/>
        <w:spacing w:after="280" w:line="240" w:lineRule="auto"/>
        <w:rPr>
          <w:b w:val="1"/>
          <w:bCs w:val="1"/>
          <w:color w:val="000000"/>
        </w:rPr>
      </w:pPr>
      <w:bookmarkStart w:colFirst="0" w:colLast="0" w:name="_heading=h.sflbmoq92m32" w:id="0"/>
      <w:bookmarkEnd w:id="0"/>
      <w:r w:rsidDel="00000000" w:rsidR="00000000" w:rsidRPr="00000000">
        <w:rPr>
          <w:b w:val="1"/>
          <w:bCs w:val="1"/>
          <w:color w:val="000000"/>
          <w:rtl w:val="0"/>
        </w:rPr>
        <w:t xml:space="preserve">Demande de formation du personnel sur la SCM</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 : </w:t>
      </w:r>
      <w:r w:rsidDel="00000000" w:rsidR="00000000" w:rsidRPr="00000000">
        <w:rPr>
          <w:rFonts w:ascii="Times New Roman" w:cs="Times New Roman" w:eastAsia="Times New Roman" w:hAnsi="Times New Roman"/>
          <w:sz w:val="24"/>
          <w:szCs w:val="24"/>
          <w:rtl w:val="0"/>
        </w:rPr>
        <w:t xml:space="preserve">Demande de formation du personnel sur la sensibilité chimique multiple (SCM)</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Cher/Chère [nom de la clinique/de l'administrateur],</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écris afin de vous communiquer des informations importantes sur la sensibilité chimique multiple (SCM) et de demander une formation pour votre personnel afin de garantir l'accessibilité des soins.</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SCM est un handicap et une condition médicale reconnue dans laquelle l'exposition à des composés organiques volatils (COV) et à d'autres produits chimiques, émis par les parfums et certains autres produits, peut provoquer des symptômes physiques graves. Des accommodements de base, tels que des pratiques de nettoyage sans fragrances, aux plus faibles émissions et les moins toxiques, sont essentiels pour garantir un accès sûr aux soins de santé.</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ses </w:t>
      </w:r>
      <w:r w:rsidDel="00000000" w:rsidR="00000000" w:rsidRPr="00000000">
        <w:rPr>
          <w:rFonts w:ascii="Times New Roman" w:cs="Times New Roman" w:eastAsia="Times New Roman" w:hAnsi="Times New Roman"/>
          <w:b w:val="1"/>
          <w:bCs w:val="1"/>
          <w:sz w:val="24"/>
          <w:szCs w:val="24"/>
          <w:rtl w:val="0"/>
        </w:rPr>
        <w:t xml:space="preserve">observations finales de 2025</w:t>
      </w:r>
      <w:r w:rsidDel="00000000" w:rsidR="00000000" w:rsidRPr="00000000">
        <w:rPr>
          <w:rFonts w:ascii="Times New Roman" w:cs="Times New Roman" w:eastAsia="Times New Roman" w:hAnsi="Times New Roman"/>
          <w:sz w:val="24"/>
          <w:szCs w:val="24"/>
          <w:rtl w:val="0"/>
        </w:rPr>
        <w:t xml:space="preserve">, le Comité des droits des personnes handicapées de l’Organisation des Nations Unies a exprimé sa préoccupation face </w:t>
      </w:r>
      <w:r w:rsidDel="00000000" w:rsidR="00000000" w:rsidRPr="00000000">
        <w:rPr>
          <w:rFonts w:ascii="Times New Roman" w:cs="Times New Roman" w:eastAsia="Times New Roman" w:hAnsi="Times New Roman"/>
          <w:i w:val="1"/>
          <w:iCs w:val="1"/>
          <w:sz w:val="24"/>
          <w:szCs w:val="24"/>
          <w:rtl w:val="0"/>
        </w:rPr>
        <w:t xml:space="preserve">à 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discrimination et à</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la stigmatisation persistantes </w:t>
      </w:r>
      <w:r w:rsidDel="00000000" w:rsidR="00000000" w:rsidRPr="00000000">
        <w:rPr>
          <w:rFonts w:ascii="Times New Roman" w:cs="Times New Roman" w:eastAsia="Times New Roman" w:hAnsi="Times New Roman"/>
          <w:sz w:val="24"/>
          <w:szCs w:val="24"/>
          <w:rtl w:val="0"/>
        </w:rPr>
        <w:t xml:space="preserve">dont sont victimes les personnes atteintes de la SCM. Les établissements de santé jouent un rôle central dans la lutte contre cette discrimination en garantissant un accès sûr et en sensibilisant davantage le personnel.</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demande respectueusement à votre clinique d'envisager :</w:t>
      </w:r>
    </w:p>
    <w:p w:rsidR="00000000" w:rsidDel="00000000" w:rsidP="00000000" w:rsidRDefault="00000000" w:rsidRPr="00000000" w14:paraId="0000000A">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fournir au personnel une formation ou des documents d'information sur la SCM</w:t>
      </w:r>
    </w:p>
    <w:p w:rsidR="00000000" w:rsidDel="00000000" w:rsidP="00000000" w:rsidRDefault="00000000" w:rsidRPr="00000000" w14:paraId="0000000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D'adapter les produits de nettoyage et les achats dans la mesure du possible</w:t>
      </w:r>
    </w:p>
    <w:p w:rsidR="00000000" w:rsidDel="00000000" w:rsidP="00000000" w:rsidRDefault="00000000" w:rsidRPr="00000000" w14:paraId="0000000C">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D'afficher des avis simples « Veuillez éviter les produits parfumés » dans les zones concernées</w:t>
      </w:r>
    </w:p>
    <w:p w:rsidR="00000000" w:rsidDel="00000000" w:rsidP="00000000" w:rsidRDefault="00000000" w:rsidRPr="00000000" w14:paraId="0000000D">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D'inclure des rappels sans fragrances dans les confirmations de rendez-vous</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me ferai un plaisir de vous fournir des ressources ou de vous mettre en relation avec des organisations qui peuvent vous aider dans cette démarche.</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remercie de votre attention et de votre engagement en faveur d'une santé équitable.</w:t>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Cordialement,</w:t>
        <w:br w:type="textWrapping"/>
        <w:t xml:space="preserve">[Votre nom]</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Références</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4">
      <w:pPr>
        <w:spacing w:after="240" w:before="240" w:lineRule="auto"/>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E2128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128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128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128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E2128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E2128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E2128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E2128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E2128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128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128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128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2128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2128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2128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1288"/>
    <w:rPr>
      <w:i w:val="1"/>
      <w:iCs w:val="1"/>
      <w:color w:val="404040" w:themeColor="text1" w:themeTint="0000BF"/>
    </w:rPr>
  </w:style>
  <w:style w:type="paragraph" w:styleId="ListParagraph">
    <w:name w:val="List Paragraph"/>
    <w:basedOn w:val="Normal"/>
    <w:uiPriority w:val="34"/>
    <w:qFormat w:val="1"/>
    <w:rsid w:val="00E21288"/>
    <w:pPr>
      <w:ind w:left="720"/>
      <w:contextualSpacing w:val="1"/>
    </w:pPr>
  </w:style>
  <w:style w:type="character" w:styleId="IntenseEmphasis">
    <w:name w:val="Intense Emphasis"/>
    <w:basedOn w:val="DefaultParagraphFont"/>
    <w:uiPriority w:val="21"/>
    <w:qFormat w:val="1"/>
    <w:rsid w:val="00E21288"/>
    <w:rPr>
      <w:i w:val="1"/>
      <w:iCs w:val="1"/>
      <w:color w:val="2f5496" w:themeColor="accent1" w:themeShade="0000BF"/>
    </w:rPr>
  </w:style>
  <w:style w:type="paragraph" w:styleId="IntenseQuote">
    <w:name w:val="Intense Quote"/>
    <w:basedOn w:val="Normal"/>
    <w:next w:val="Normal"/>
    <w:link w:val="IntenseQuoteChar"/>
    <w:uiPriority w:val="30"/>
    <w:qFormat w:val="1"/>
    <w:rsid w:val="00E2128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E21288"/>
    <w:rPr>
      <w:i w:val="1"/>
      <w:iCs w:val="1"/>
      <w:color w:val="2f5496" w:themeColor="accent1" w:themeShade="0000BF"/>
    </w:rPr>
  </w:style>
  <w:style w:type="character" w:styleId="IntenseReference">
    <w:name w:val="Intense Reference"/>
    <w:basedOn w:val="DefaultParagraphFont"/>
    <w:uiPriority w:val="32"/>
    <w:qFormat w:val="1"/>
    <w:rsid w:val="00E21288"/>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2SdR1nT9xo2/kszNY3ACDCCtUQ==">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2026-02-14T00:56:00.0000000Z</dcterms:created>
  <dc:creator>ASEQ EHAQ</dc:creator>
</cp:coreProperties>
</file>