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– TEMPLATE LETTER A4 –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80" w:line="240" w:lineRule="auto"/>
        <w:rPr>
          <w:b w:val="1"/>
          <w:bCs w:val="1"/>
          <w:color w:val="000000"/>
        </w:rPr>
      </w:pPr>
      <w:bookmarkStart w:colFirst="0" w:colLast="0" w:name="_heading=h.3ic1giwwpc3h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Request for Documentation of Disability-Related Needs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 to Document Accommodation Needs in Medical Record (MCS)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[Provider Name],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regarding the documentation of my disability-related accommodation needs. I live with Multiple Chemical Sensitivity (MCS), and exposure to fragranced or chemical products causes significant and disabling symptoms.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continuity of care and to prevent repeated explanations at each visit, I am requesting that my medical file include the following notation: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“Patients require a fragrance-free, lowest-emission, least-toxic healthcare environment  due to disabling reactions to volatile organic compounds (VOCs) and other chemicals emitted from fragrances,  fragranced product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 and other products that are high VOC-emitting.”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documentation will help ensure consistent and safe care across clinical settings I may need to access.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 Committee on the Rights of Persons with Disabilities (2025)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 acknowledged the discrimination faced by people with MCS. Clear documentation supports my right to safe, equitable access to healthcare.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very much for your understanding and assistance.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[Your Name]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C419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C419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C419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C419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C419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C419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C419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C419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C419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C419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C419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C419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C41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C419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C419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C419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C419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C419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C419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419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C419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t+Va/6uE16hR7/pBA8Z67Cl3w==">CgMxLjAyDmguM2ljMWdpd3dwYzNoOAByITFmSkRuUEltdmQ4dldsMFg4SXBDamkyc2R0UWxrbmd2Ng==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2026-02-14T00:55:00Z</dcterms:created>
  <dc:creator>ASEQ EHAQ</dc:creator>
</cp:coreProperties>
</file>