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5re8js6n6dry"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TEMPLATE LETTE A3</w:t>
      </w:r>
      <w:r w:rsidDel="00000000" w:rsidR="00000000" w:rsidRPr="00000000">
        <w:rPr>
          <w:rtl w:val="0"/>
        </w:rPr>
      </w:r>
    </w:p>
    <w:p w:rsidR="00000000" w:rsidDel="00000000" w:rsidP="00000000" w:rsidRDefault="00000000" w:rsidRPr="00000000" w14:paraId="00000002">
      <w:pPr>
        <w:spacing w:before="48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TEMPLATE LETTER A3 –</w:t>
      </w:r>
    </w:p>
    <w:p w:rsidR="00000000" w:rsidDel="00000000" w:rsidP="00000000" w:rsidRDefault="00000000" w:rsidRPr="00000000" w14:paraId="00000003">
      <w:pPr>
        <w:pStyle w:val="Heading3"/>
        <w:keepNext w:val="0"/>
        <w:keepLines w:val="0"/>
        <w:spacing w:before="480" w:lineRule="auto"/>
        <w:rPr>
          <w:rFonts w:ascii="Calibri" w:cs="Calibri" w:eastAsia="Calibri" w:hAnsi="Calibri"/>
          <w:b w:val="1"/>
          <w:bCs w:val="1"/>
          <w:color w:val="000000"/>
        </w:rPr>
      </w:pPr>
      <w:bookmarkStart w:colFirst="0" w:colLast="0" w:name="_htrclhjrkkgr" w:id="1"/>
      <w:bookmarkEnd w:id="1"/>
      <w:r w:rsidDel="00000000" w:rsidR="00000000" w:rsidRPr="00000000">
        <w:rPr>
          <w:rFonts w:ascii="Calibri" w:cs="Calibri" w:eastAsia="Calibri" w:hAnsi="Calibri"/>
          <w:b w:val="1"/>
          <w:bCs w:val="1"/>
          <w:color w:val="000000"/>
          <w:rtl w:val="0"/>
        </w:rPr>
        <w:t xml:space="preserve">Request Letter for Healthcare Clinics</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w:t>
      </w:r>
      <w:r w:rsidDel="00000000" w:rsidR="00000000" w:rsidRPr="00000000">
        <w:rPr>
          <w:rFonts w:ascii="Times New Roman" w:cs="Times New Roman" w:eastAsia="Times New Roman" w:hAnsi="Times New Roman"/>
          <w:sz w:val="24"/>
          <w:szCs w:val="24"/>
          <w:rtl w:val="0"/>
        </w:rPr>
        <w:t xml:space="preserve"> Request for Fragrance-Free and Lowest-Emission Healthcare Appointment Accommodation</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[Clinic Manager / Physician / Healthcare Provider],</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request accommodation related to </w:t>
      </w:r>
      <w:r w:rsidDel="00000000" w:rsidR="00000000" w:rsidRPr="00000000">
        <w:rPr>
          <w:rFonts w:ascii="Times New Roman" w:cs="Times New Roman" w:eastAsia="Times New Roman" w:hAnsi="Times New Roman"/>
          <w:b w:val="1"/>
          <w:bCs w:val="1"/>
          <w:sz w:val="24"/>
          <w:szCs w:val="24"/>
          <w:rtl w:val="0"/>
        </w:rPr>
        <w:t xml:space="preserve">Multiple Chemical Sensitivity (MCS)</w:t>
      </w:r>
      <w:r w:rsidDel="00000000" w:rsidR="00000000" w:rsidRPr="00000000">
        <w:rPr>
          <w:rFonts w:ascii="Times New Roman" w:cs="Times New Roman" w:eastAsia="Times New Roman" w:hAnsi="Times New Roman"/>
          <w:sz w:val="24"/>
          <w:szCs w:val="24"/>
          <w:rtl w:val="0"/>
        </w:rPr>
        <w:t xml:space="preserve"> in order to safely access healthcare services.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MCS is a recognized disability and medical condition in which exposure to certain chemicals—including fragranced products and other volatile substances—can trigger significant health reactions. Environmental chemical exposures in healthcare settings can therefore create barriers that make it difficult for individuals with MCS to safely attend medical appointments.</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peer-reviewed research estimates that </w:t>
      </w:r>
      <w:r w:rsidDel="00000000" w:rsidR="00000000" w:rsidRPr="00000000">
        <w:rPr>
          <w:rFonts w:ascii="Times New Roman" w:cs="Times New Roman" w:eastAsia="Times New Roman" w:hAnsi="Times New Roman"/>
          <w:b w:val="1"/>
          <w:bCs w:val="1"/>
          <w:sz w:val="24"/>
          <w:szCs w:val="24"/>
          <w:rtl w:val="0"/>
        </w:rPr>
        <w:t xml:space="preserve">more than 1.13 million Canadians report a medical diagnosis of Multiple Chemical Sensitivity (MCS)</w:t>
      </w:r>
      <w:r w:rsidDel="00000000" w:rsidR="00000000" w:rsidRPr="00000000">
        <w:rPr>
          <w:rFonts w:ascii="Times New Roman" w:cs="Times New Roman" w:eastAsia="Times New Roman" w:hAnsi="Times New Roman"/>
          <w:sz w:val="24"/>
          <w:szCs w:val="24"/>
          <w:rtl w:val="0"/>
        </w:rPr>
        <w:t xml:space="preserve"> (Robins, Molot &amp; Peris, 2026).</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 barriers experienced by people with MCS are environmental and can often be avoided through product choice or source control. </w:t>
      </w:r>
      <w:r w:rsidDel="00000000" w:rsidR="00000000" w:rsidRPr="00000000">
        <w:rPr>
          <w:rFonts w:ascii="Times New Roman" w:cs="Times New Roman" w:eastAsia="Times New Roman" w:hAnsi="Times New Roman"/>
          <w:b w:val="1"/>
          <w:bCs w:val="1"/>
          <w:sz w:val="24"/>
          <w:szCs w:val="24"/>
          <w:rtl w:val="0"/>
        </w:rPr>
        <w:t xml:space="preserve">Fragrance-free, lowest-emission, and least-toxic environments are a practical accessibility accommodation</w:t>
      </w:r>
      <w:r w:rsidDel="00000000" w:rsidR="00000000" w:rsidRPr="00000000">
        <w:rPr>
          <w:rFonts w:ascii="Times New Roman" w:cs="Times New Roman" w:eastAsia="Times New Roman" w:hAnsi="Times New Roman"/>
          <w:sz w:val="24"/>
          <w:szCs w:val="24"/>
          <w:rtl w:val="0"/>
        </w:rPr>
        <w:t xml:space="preserve"> that can help ensure that patients with MCS can access care safely.</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respectfully request consideration of the following accommodations:</w:t>
      </w:r>
    </w:p>
    <w:p w:rsidR="00000000" w:rsidDel="00000000" w:rsidP="00000000" w:rsidRDefault="00000000" w:rsidRPr="00000000" w14:paraId="0000000B">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Fragrance-free policy respected during my appointment time </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scented products and air fresheners in examination areas</w:t>
      </w:r>
    </w:p>
    <w:p w:rsidR="00000000" w:rsidDel="00000000" w:rsidP="00000000" w:rsidRDefault="00000000" w:rsidRPr="00000000" w14:paraId="0000000D">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Use of fragrance-free, </w:t>
      </w:r>
      <w:r w:rsidDel="00000000" w:rsidR="00000000" w:rsidRPr="00000000">
        <w:rPr>
          <w:rFonts w:ascii="Times New Roman" w:cs="Times New Roman" w:eastAsia="Times New Roman" w:hAnsi="Times New Roman"/>
          <w:b w:val="1"/>
          <w:bCs w:val="1"/>
          <w:sz w:val="24"/>
          <w:szCs w:val="24"/>
          <w:rtl w:val="0"/>
        </w:rPr>
        <w:t xml:space="preserve">lowest-emission and least-toxic cleaning products</w:t>
      </w:r>
      <w:r w:rsidDel="00000000" w:rsidR="00000000" w:rsidRPr="00000000">
        <w:rPr>
          <w:rtl w:val="0"/>
        </w:rPr>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 appointments at times when environmental exposures are minimized, i.e, early morning</w:t>
      </w:r>
    </w:p>
    <w:p w:rsidR="00000000" w:rsidDel="00000000" w:rsidP="00000000" w:rsidRDefault="00000000" w:rsidRPr="00000000" w14:paraId="0000000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 notice of any activities involving chemical exposures</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measures can help ensure that patients with MCS can access healthcare safely and without triggering harmful reactions.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consideration and for supporting accessible healthcare.</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br w:type="textWrapping"/>
        <w:t xml:space="preserve"> [Name]</w:t>
        <w:br w:type="textWrapping"/>
        <w:t xml:space="preserve"> [Patient if applicable]</w:t>
      </w:r>
    </w:p>
    <w:p w:rsidR="00000000" w:rsidDel="00000000" w:rsidP="00000000" w:rsidRDefault="00000000" w:rsidRPr="00000000" w14:paraId="00000013">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4">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w:t>
      </w:r>
      <w:r w:rsidDel="00000000" w:rsidR="00000000" w:rsidRPr="00000000">
        <w:rPr>
          <w:rFonts w:ascii="Times New Roman" w:cs="Times New Roman" w:eastAsia="Times New Roman" w:hAnsi="Times New Roman"/>
          <w:i w:val="1"/>
          <w:iCs w:val="1"/>
          <w:rtl w:val="0"/>
        </w:rPr>
        <w:t xml:space="preserve"> 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5">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6">
      <w:pPr>
        <w:spacing w:after="240" w:before="240" w:line="259" w:lineRule="auto"/>
        <w:rPr>
          <w:rFonts w:ascii="Calibri" w:cs="Calibri" w:eastAsia="Calibri" w:hAnsi="Calibri"/>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2025 </w:t>
      </w:r>
      <w:r w:rsidDel="00000000" w:rsidR="00000000" w:rsidRPr="00000000">
        <w:rPr>
          <w:rFonts w:ascii="Times New Roman" w:cs="Times New Roman" w:eastAsia="Times New Roman" w:hAnsi="Times New Roman"/>
          <w:i w:val="1"/>
          <w:iCs w:val="1"/>
          <w:rtl w:val="0"/>
        </w:rPr>
        <w:t xml:space="preserve">International Conference. 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