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– TEMPLATE LETTER A2 –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280" w:line="240" w:lineRule="auto"/>
        <w:rPr>
          <w:b w:val="1"/>
          <w:bCs w:val="1"/>
          <w:color w:val="000000"/>
        </w:rPr>
      </w:pPr>
      <w:bookmarkStart w:colFirst="0" w:colLast="0" w:name="_heading=h.o11oq410s6uk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Request for a Safe, Lowest-Emission Appointment Space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Request for a Safe Space for Medical Appointment – MCS Accommodation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[Name/Clinic],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requesting disability accommodations for an upcoming appointment. I live with Multiple Chemical Sensitivity (MCS), and exposures to fragranced or chemical products can cause severe symptoms, including respiratory distress, neurological symptoms, and functional impairment.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safely attend my appointment, I ask that: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scheduled in a well-ventilated, scent-free, lowest-emission room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and patients interacting with me do not use scented products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Air fresheners should be removed well in advance (the previous day) of my visit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Disinfectants should not be used before my appointment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allowed to wait in an alternate area, or in my car,  if the waiting room contains fragranced products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allowed to cancel my appointment without charge if the space is not accessible to me and triggers symptoms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are standard accessibility measures and are consistent with the recent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 Concluding Observations (2025)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identified discrimination and stigma against people with MCS in Canada.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supporting equitable access to healthcare.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  <w:br w:type="textWrapping"/>
        <w:t xml:space="preserve">[Your Name]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Robins, S., Molot, J., &amp; Peris, R. (2026). Prevalence of Multiple Chemical Sensitivity in Canada Between 2000 and 2020.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23(2), 236. https://doi.org/10.3390/ijerph23020236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Yousufzai, S. J., Psaradellis, E., Peris, R., &amp; Barakat, C. (2025). A Qualitative Exploration of Policy, Institutional, and Social Misconceptions Faced by Individuals with Multiple Chemical Sensitivity.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22(9), 1383. https://doi.org/10.3390/ijerph22091383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Vangala, K., Molot, J., Trifunovski, A., &amp; Peris, R. (2026). From Invisibility to Inclusion: Evidence, Lived Experience, and Policy Directions for Multiple Chemical Sensitivity Report from the Resilience 2025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Conference. International Journal of Environmental Research and Public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23(3), 280. https://doi.org/10.3390/ijerph23030280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828E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828E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828E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828E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828E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828E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828E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828E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828E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828E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828E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828E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28E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828E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828E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828E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828E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828E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828E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28E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828E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7/3dHKpcSojmDqC8qEZI4OtcQ==">CgMxLjAyDmgubzExb3E0MTBzNnVrOAByITEtWUljZDlEcnJOaHNYb0Q5VndpNkx3S1ZFTXlLS2QyRQ==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2026-02-14T00:54:00Z</dcterms:created>
  <dc:creator>ASEQ EHAQ</dc:creator>
</cp:coreProperties>
</file>