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Arial" w:cs="Arial" w:eastAsia="Arial" w:hAnsi="Arial"/>
          <w:b w:val="0"/>
          <w:bCs w:val="0"/>
          <w:color w:val="000000"/>
          <w:sz w:val="22"/>
          <w:szCs w:val="22"/>
        </w:rPr>
      </w:pPr>
      <w:hyperlink r:id="rId7">
        <w:r w:rsidDel="00000000" w:rsidR="00000000" w:rsidRPr="00000000">
          <w:rPr>
            <w:color w:val="1155cc"/>
            <w:u w:val="single"/>
            <w:rtl w:val="0"/>
          </w:rPr>
          <w:t xml:space="preserve">Lire les observations finales complètes du Comité de l’ONU sur les droits des personnes handicapées (mars 2025)</w:t>
        </w:r>
      </w:hyperlink>
      <w:r w:rsidDel="00000000" w:rsidR="00000000" w:rsidRPr="00000000">
        <w:rPr>
          <w:rtl w:val="0"/>
        </w:rPr>
        <w:t xml:space="preserve"> </w:t>
      </w:r>
      <w:r w:rsidDel="00000000" w:rsidR="00000000" w:rsidRPr="00000000">
        <w:rPr>
          <w:rFonts w:ascii="Arial" w:cs="Arial" w:eastAsia="Arial" w:hAnsi="Arial"/>
          <w:b w:val="0"/>
          <w:bCs w:val="0"/>
          <w:color w:val="000000"/>
          <w:sz w:val="22"/>
          <w:szCs w:val="22"/>
          <w:rtl w:val="0"/>
        </w:rPr>
        <w:t xml:space="preserve">(pdf symbol </w:t>
      </w:r>
      <w:r w:rsidDel="00000000" w:rsidR="00000000" w:rsidRPr="00000000">
        <w:rPr>
          <w:rFonts w:ascii="Arial" w:cs="Arial" w:eastAsia="Arial" w:hAnsi="Arial"/>
          <w:b w:val="0"/>
          <w:bCs w:val="0"/>
          <w:color w:val="000000"/>
          <w:sz w:val="22"/>
          <w:szCs w:val="22"/>
        </w:rPr>
        <w:drawing>
          <wp:inline distB="114300" distT="114300" distL="114300" distR="114300">
            <wp:extent cx="194210" cy="194210"/>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4210" cy="194210"/>
                    </a:xfrm>
                    <a:prstGeom prst="rect"/>
                    <a:ln/>
                  </pic:spPr>
                </pic:pic>
              </a:graphicData>
            </a:graphic>
          </wp:inline>
        </w:drawing>
      </w:r>
      <w:r w:rsidDel="00000000" w:rsidR="00000000" w:rsidRPr="00000000">
        <w:rPr>
          <w:rFonts w:ascii="Arial" w:cs="Arial" w:eastAsia="Arial" w:hAnsi="Arial"/>
          <w:b w:val="0"/>
          <w:bCs w:val="0"/>
          <w:color w:val="000000"/>
          <w:sz w:val="22"/>
          <w:szCs w:val="22"/>
          <w:rtl w:val="0"/>
        </w:rPr>
        <w:t xml:space="preserve">)</w:t>
      </w:r>
    </w:p>
    <w:p w:rsidR="00000000" w:rsidDel="00000000" w:rsidP="00000000" w:rsidRDefault="00000000" w:rsidRPr="00000000" w14:paraId="00000002">
      <w:pPr>
        <w:pStyle w:val="Heading1"/>
        <w:rPr/>
      </w:pPr>
      <w:r w:rsidDel="00000000" w:rsidR="00000000" w:rsidRPr="00000000">
        <w:rPr>
          <w:rtl w:val="0"/>
        </w:rPr>
        <w:t xml:space="preserve">Observations finales du Comité de la Convention relative aux droits des personnes handicapées de l’ONU (2025)</w:t>
      </w:r>
    </w:p>
    <w:p w:rsidR="00000000" w:rsidDel="00000000" w:rsidP="00000000" w:rsidRDefault="00000000" w:rsidRPr="00000000" w14:paraId="00000003">
      <w:pPr>
        <w:pStyle w:val="Heading2"/>
        <w:rPr/>
      </w:pPr>
      <w:r w:rsidDel="00000000" w:rsidR="00000000" w:rsidRPr="00000000">
        <w:rPr>
          <w:rtl w:val="0"/>
        </w:rPr>
        <w:t xml:space="preserve">Ce que cela signifie pour les personnes atteintes de sensibilité chimique multiple (SCM)</w:t>
      </w:r>
    </w:p>
    <w:p w:rsidR="00000000" w:rsidDel="00000000" w:rsidP="00000000" w:rsidRDefault="00000000" w:rsidRPr="00000000" w14:paraId="00000004">
      <w:pPr>
        <w:rPr/>
      </w:pPr>
      <w:r w:rsidDel="00000000" w:rsidR="00000000" w:rsidRPr="00000000">
        <w:rPr>
          <w:rtl w:val="0"/>
        </w:rPr>
        <w:t xml:space="preserve">En mars 2025, le Comité des droits des personnes handicapées des Nations Unies a explicitement nommé la sensibilité chimique multiple (SCM) dans ses Observations finales concernant le Canada. Le Comité a exprimé son inquiétude face au manque persistant d’égalité, à la discrimination et à la stigmatisation vécues par les personnes atteintes de SCM. Il s’agit d’une étape importante qui renforce la reconnaissance nationale de cette réalité.</w:t>
      </w:r>
    </w:p>
    <w:p w:rsidR="00000000" w:rsidDel="00000000" w:rsidP="00000000" w:rsidRDefault="00000000" w:rsidRPr="00000000" w14:paraId="00000005">
      <w:pPr>
        <w:pStyle w:val="Heading2"/>
        <w:rPr/>
      </w:pPr>
      <w:r w:rsidDel="00000000" w:rsidR="00000000" w:rsidRPr="00000000">
        <w:rPr>
          <w:rtl w:val="0"/>
        </w:rPr>
        <w:t xml:space="preserve">Pourquoi c’est important</w:t>
      </w:r>
    </w:p>
    <w:p w:rsidR="00000000" w:rsidDel="00000000" w:rsidP="00000000" w:rsidRDefault="00000000" w:rsidRPr="00000000" w14:paraId="00000006">
      <w:pPr>
        <w:rPr/>
      </w:pPr>
      <w:r w:rsidDel="00000000" w:rsidR="00000000" w:rsidRPr="00000000">
        <w:rPr>
          <w:rtl w:val="0"/>
        </w:rPr>
        <w:t xml:space="preserve">Les personnes atteintes de SCM rencontrent des obstacles dans les soins de santé, les milieux de travail, le logement, le transport et de nombreux espaces publics. Ces obstacles sont souvent invisibles, mais leurs effets sont profondément limitants. Les conclusions de l’ONU confirment que le Canada doit prendre des mesures significatives pour réduire la discrimination et améliorer l’accessibilité pour les personnes vivant avec la SCM.</w:t>
      </w:r>
    </w:p>
    <w:p w:rsidR="00000000" w:rsidDel="00000000" w:rsidP="00000000" w:rsidRDefault="00000000" w:rsidRPr="00000000" w14:paraId="00000007">
      <w:pPr>
        <w:pStyle w:val="Heading2"/>
        <w:rPr/>
      </w:pPr>
      <w:r w:rsidDel="00000000" w:rsidR="00000000" w:rsidRPr="00000000">
        <w:rPr>
          <w:rtl w:val="0"/>
        </w:rPr>
        <w:t xml:space="preserve">Messages clés des conclusions de l’ONU</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L’ONU reconnaît la discrimination et la stigmatisation envers les personnes atteintes de la SCM.</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L’accès à un air intérieur </w:t>
      </w:r>
      <w:r w:rsidDel="00000000" w:rsidR="00000000" w:rsidRPr="00000000">
        <w:rPr>
          <w:rtl w:val="0"/>
        </w:rPr>
        <w:t xml:space="preserve">sain</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est une question d’accessibilité et de droits </w:t>
      </w:r>
      <w:r w:rsidDel="00000000" w:rsidR="00000000" w:rsidRPr="00000000">
        <w:rPr>
          <w:rtl w:val="0"/>
        </w:rPr>
        <w:t xml:space="preserve">de la personne</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Des environnements sans fragrances, aux  plus faibles émissions et les moins toxiques possible sont des mesures d’</w:t>
      </w:r>
      <w:r w:rsidDel="00000000" w:rsidR="00000000" w:rsidRPr="00000000">
        <w:rPr>
          <w:rtl w:val="0"/>
        </w:rPr>
        <w:t xml:space="preserve">accommodements</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essentiels.</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Les gouvernements doivent améliorer l’accès aux soins de santé, au logement et aux services publics.</w:t>
      </w:r>
    </w:p>
    <w:p w:rsidR="00000000" w:rsidDel="00000000" w:rsidP="00000000" w:rsidRDefault="00000000" w:rsidRPr="00000000" w14:paraId="0000000C">
      <w:pPr>
        <w:pStyle w:val="Heading2"/>
        <w:rPr/>
      </w:pPr>
      <w:r w:rsidDel="00000000" w:rsidR="00000000" w:rsidRPr="00000000">
        <w:rPr>
          <w:rtl w:val="0"/>
        </w:rPr>
        <w:t xml:space="preserve">Ce que vous pouvez faire</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Utiliser les conclusions de l’ONU pour parler avec les professionnels de la santé, les employeurs et les fournisseurs de services.</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Écrire à vos élus pour demander des politiques sans fragrances et aux plus faibles émissions.</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Partager votre expérience de vie pour renforcer le plaidoyer communautaire.</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Encourager les pratiques d’air sain dans les milieux de travail, les écoles et les espaces publics.</w:t>
      </w:r>
    </w:p>
    <w:p w:rsidR="00000000" w:rsidDel="00000000" w:rsidP="00000000" w:rsidRDefault="00000000" w:rsidRPr="00000000" w14:paraId="00000011">
      <w:pPr>
        <w:pStyle w:val="Heading2"/>
        <w:rPr/>
      </w:pPr>
      <w:r w:rsidDel="00000000" w:rsidR="00000000" w:rsidRPr="00000000">
        <w:rPr>
          <w:rtl w:val="0"/>
        </w:rPr>
        <w:t xml:space="preserve">Pourquoi un air sain concerne tout le monde</w:t>
      </w:r>
    </w:p>
    <w:p w:rsidR="00000000" w:rsidDel="00000000" w:rsidP="00000000" w:rsidRDefault="00000000" w:rsidRPr="00000000" w14:paraId="00000012">
      <w:pPr>
        <w:rPr/>
      </w:pPr>
      <w:r w:rsidDel="00000000" w:rsidR="00000000" w:rsidRPr="00000000">
        <w:rPr>
          <w:rtl w:val="0"/>
        </w:rPr>
        <w:t xml:space="preserve">La SCM n’est pas un enjeu isolé. De nombreuses personnes, notamment celles ayant de l’asthme, de la MPOC, des migraines, de la dermatite, de l’autisme, de la COVID longue et d’autres conditions, sont affectées par les expositions chimiques et les fragrances. Un air intérieur sain profite à l’ensemble de la population.</w:t>
      </w:r>
    </w:p>
    <w:p w:rsidR="00000000" w:rsidDel="00000000" w:rsidP="00000000" w:rsidRDefault="00000000" w:rsidRPr="00000000" w14:paraId="00000013">
      <w:pPr>
        <w:pStyle w:val="Heading2"/>
        <w:rPr/>
      </w:pPr>
      <w:r w:rsidDel="00000000" w:rsidR="00000000" w:rsidRPr="00000000">
        <w:rPr>
          <w:rtl w:val="0"/>
        </w:rPr>
        <w:t xml:space="preserve">Apprenez-en plus et faites partie du changement</w:t>
      </w:r>
    </w:p>
    <w:p w:rsidR="00000000" w:rsidDel="00000000" w:rsidP="00000000" w:rsidRDefault="00000000" w:rsidRPr="00000000" w14:paraId="00000014">
      <w:pPr>
        <w:rPr/>
      </w:pPr>
      <w:r w:rsidDel="00000000" w:rsidR="00000000" w:rsidRPr="00000000">
        <w:rPr>
          <w:rtl w:val="0"/>
        </w:rPr>
        <w:t xml:space="preserve">Visitez notre site Web pour accéder à : des lettres de revendication, des modèles, des ressources, des outils pour les médias sociaux et d’autres moyens d’agir. </w:t>
      </w:r>
      <w:r w:rsidDel="00000000" w:rsidR="00000000" w:rsidRPr="00000000">
        <w:rPr>
          <w:rtl w:val="0"/>
        </w:rPr>
        <w:t xml:space="preserve">Faites entendre votre voix pour aider à garantir</w:t>
      </w:r>
      <w:r w:rsidDel="00000000" w:rsidR="00000000" w:rsidRPr="00000000">
        <w:rPr>
          <w:rtl w:val="0"/>
        </w:rPr>
        <w:t xml:space="preserve"> que les conclusions de l’ONU se traduisent par des changements concrets au Canada.</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seq-ehaq.ca/wp-content/uploads/2025/05/G2504992.pdf"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6vifjd1NyU9KfUvU+EQdYzFAtA==">CgMxLjA4AGohChRzdWdnZXN0LjgzOHpxcGpjb2JpaxIJQVNFUSBFSEFRaiYKFHN1Z2dlc3QuMXoxdWJqcmxmY3N6Eg5BbWVsaWUgU3QtT25nZWomChRzdWdnZXN0LjU0amh0OG9zaGhkZhIOQW1lbGllIFN0LU9uZ2VqIAoTc3VnZ2VzdC4zanMxbGJieTlxMhIJQVNFUSBFSEFRaiYKFHN1Z2dlc3QuODIyYWZxdnVrcm05Eg5BbWVsaWUgU3QtT25nZWomChRzdWdnZXN0LjEwMGZwaXJwaXdsbRIOQW1lbGllIFN0LU9uZ2VqJgoUc3VnZ2VzdC5yaHd6Zm0zdWdnangSDkFtZWxpZSBTdC1PbmdlaiEKFHN1Z2dlc3QueDRicDI0cWFhcGxnEglBU0VRIEVIQVFqJgoUc3VnZ2VzdC4zbGVpbG4zZHAydm8SDkFtZWxpZSBTdC1PbmdlaiYKFHN1Z2dlc3QuZnZ5aDVidzRndGsyEg5BbWVsaWUgU3QtT25nZWohChRzdWdnZXN0Ljk0ajc5Nml5NXYyaxIJQVNFUSBFSEFRaiYKFHN1Z2dlc3QubDY5ZzlmM3U4dTBiEg5BbWVsaWUgU3QtT25nZWolChNzdWdnZXN0Lnl0enRvejRoYWF5Eg5BbWVsaWUgU3QtT25nZWohChRzdWdnZXN0LmFhZnc2cHV4NDNscBIJQVNFUSBFSEFRaiUKE3N1Z2dlc3QuYWtpMHBiMXBld3gSDkFtZWxpZSBTdC1PbmdlaiYKFHN1Z2dlc3QuYzV6anJidmVibHpqEg5BbWVsaWUgU3QtT25nZWomChRzdWdnZXN0LnJ5dXgzMnY0NHoydBIOQW1lbGllIFN0LU9uZ2VqJgoUc3VnZ2VzdC5wcjEyN2syYWdjdjcSDkFtZWxpZSBTdC1PbmdlaiUKE3N1Z2dlc3QueGtjbWdjOGZpYmoSDkFtZWxpZSBTdC1PbmdlaiYKFHN1Z2dlc3QuaDh1eGJxcGpnaGRlEg5BbWVsaWUgU3QtT25nZXIhMV9zSWZpNlhVdjF3WHY5Y2kyRExDbXBSTlE2NV9DMlA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2026-02-14T00:51:00Z</dcterms:created>
  <dc:creator>python-docx</dc:creator>
</cp:coreProperties>
</file>