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hyperlink r:id="rId7">
        <w:r w:rsidDel="00000000" w:rsidR="00000000" w:rsidRPr="00000000">
          <w:rPr>
            <w:color w:val="1155cc"/>
            <w:u w:val="single"/>
            <w:rtl w:val="0"/>
          </w:rPr>
          <w:t xml:space="preserve">Read the full Concluding Observations from the UN CRPD Committee (March 2025)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(pdf symbol </w:t>
      </w:r>
      <w:r w:rsidDel="00000000" w:rsidR="00000000" w:rsidRPr="00000000">
        <w:rPr>
          <w:rFonts w:ascii="Arial" w:cs="Arial" w:eastAsia="Arial" w:hAnsi="Arial"/>
          <w:b w:val="0"/>
          <w:bCs w:val="0"/>
          <w:color w:val="000000"/>
          <w:sz w:val="22"/>
          <w:szCs w:val="22"/>
        </w:rPr>
        <w:drawing>
          <wp:inline distB="114300" distT="114300" distL="114300" distR="114300">
            <wp:extent cx="194210" cy="19421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4210" cy="194210"/>
                    </a:xfrm>
                    <a:prstGeom prst="rect"/>
                    <a:ln/>
                  </pic:spPr>
                </pic:pic>
              </a:graphicData>
            </a:graphic>
          </wp:inline>
        </w:drawing>
      </w:r>
      <w:r w:rsidDel="00000000" w:rsidR="00000000" w:rsidRPr="00000000">
        <w:rPr>
          <w:rFonts w:ascii="Arial" w:cs="Arial" w:eastAsia="Arial" w:hAnsi="Arial"/>
          <w:b w:val="0"/>
          <w:bCs w:val="0"/>
          <w:color w:val="000000"/>
          <w:sz w:val="22"/>
          <w:szCs w:val="22"/>
          <w:rtl w:val="0"/>
        </w:rPr>
        <w:t xml:space="preserve">)</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UN Convention on the Rights of Persons with Disabilities’ Committee Concluding Observations (2025)</w:t>
      </w:r>
    </w:p>
    <w:p w:rsidR="00000000" w:rsidDel="00000000" w:rsidP="00000000" w:rsidRDefault="00000000" w:rsidRPr="00000000" w14:paraId="00000003">
      <w:pPr>
        <w:pStyle w:val="Heading2"/>
        <w:rPr/>
      </w:pPr>
      <w:bookmarkStart w:colFirst="0" w:colLast="0" w:name="_heading=h.p94pzugygv73" w:id="0"/>
      <w:bookmarkEnd w:id="0"/>
      <w:r w:rsidDel="00000000" w:rsidR="00000000" w:rsidRPr="00000000">
        <w:rPr>
          <w:rtl w:val="0"/>
        </w:rPr>
        <w:t xml:space="preserve">What They Mean for People with Multiple Chemical Sensitivity (MCS)</w:t>
      </w:r>
    </w:p>
    <w:p w:rsidR="00000000" w:rsidDel="00000000" w:rsidP="00000000" w:rsidRDefault="00000000" w:rsidRPr="00000000" w14:paraId="00000004">
      <w:pPr>
        <w:rPr/>
      </w:pPr>
      <w:r w:rsidDel="00000000" w:rsidR="00000000" w:rsidRPr="00000000">
        <w:rPr>
          <w:rtl w:val="0"/>
        </w:rPr>
        <w:t xml:space="preserve">In March 2025, the United Nations Committee on the Rights of Persons with Disabilities explicitly named Multiple Chemical Sensitivities (MCS) in its Concluding Observations on Canada. The Committee expressed concern about the persistent lack of equality, discrimination, and stigma experienced by people with MCS. This is an important step in strengthening national awareness and accountability.</w:t>
      </w:r>
    </w:p>
    <w:p w:rsidR="00000000" w:rsidDel="00000000" w:rsidP="00000000" w:rsidRDefault="00000000" w:rsidRPr="00000000" w14:paraId="00000005">
      <w:pPr>
        <w:pStyle w:val="Heading2"/>
        <w:rPr/>
      </w:pPr>
      <w:r w:rsidDel="00000000" w:rsidR="00000000" w:rsidRPr="00000000">
        <w:rPr>
          <w:rtl w:val="0"/>
        </w:rPr>
        <w:t xml:space="preserve">Why This Matters</w:t>
      </w:r>
    </w:p>
    <w:p w:rsidR="00000000" w:rsidDel="00000000" w:rsidP="00000000" w:rsidRDefault="00000000" w:rsidRPr="00000000" w14:paraId="00000006">
      <w:pPr>
        <w:rPr/>
      </w:pPr>
      <w:r w:rsidDel="00000000" w:rsidR="00000000" w:rsidRPr="00000000">
        <w:rPr>
          <w:rtl w:val="0"/>
        </w:rPr>
        <w:t xml:space="preserve">People with MCS face barriers in healthcare, workplaces, housing, transportation, and public spaces. These barriers are often invisible but deeply limiting. The UN’s findings confirm that Canada must take meaningful action to reduce discrimination and improve accessibility for people with MCS.</w:t>
      </w:r>
    </w:p>
    <w:p w:rsidR="00000000" w:rsidDel="00000000" w:rsidP="00000000" w:rsidRDefault="00000000" w:rsidRPr="00000000" w14:paraId="00000007">
      <w:pPr>
        <w:pStyle w:val="Heading2"/>
        <w:rPr/>
      </w:pPr>
      <w:r w:rsidDel="00000000" w:rsidR="00000000" w:rsidRPr="00000000">
        <w:rPr>
          <w:rtl w:val="0"/>
        </w:rPr>
        <w:t xml:space="preserve">Key Messages from the UN Findings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UN acknowledges discrimination and stigma against people with MCS.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Access to safe indoor air is an accessibility and human-rights issue.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Fragrance-free, lowest-emission, and least-toxic environments are essential accommodations.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Governments must improve access to healthcare, housing, and public services.</w:t>
      </w:r>
    </w:p>
    <w:p w:rsidR="00000000" w:rsidDel="00000000" w:rsidP="00000000" w:rsidRDefault="00000000" w:rsidRPr="00000000" w14:paraId="0000000C">
      <w:pPr>
        <w:pStyle w:val="Heading2"/>
        <w:rPr/>
      </w:pPr>
      <w:r w:rsidDel="00000000" w:rsidR="00000000" w:rsidRPr="00000000">
        <w:rPr>
          <w:rtl w:val="0"/>
        </w:rPr>
        <w:t xml:space="preserve">What You Can Do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Use the UN findings when speaking with healthcare providers, employers, and service providers.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Write to elected officials requesting fragrance-free and lowest-emission policies.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Share your lived experience to strengthen community advocacy.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Support safe air practices in workplaces, schools, and public spaces.</w:t>
      </w:r>
    </w:p>
    <w:p w:rsidR="00000000" w:rsidDel="00000000" w:rsidP="00000000" w:rsidRDefault="00000000" w:rsidRPr="00000000" w14:paraId="00000011">
      <w:pPr>
        <w:pStyle w:val="Heading2"/>
        <w:rPr/>
      </w:pPr>
      <w:r w:rsidDel="00000000" w:rsidR="00000000" w:rsidRPr="00000000">
        <w:rPr>
          <w:rtl w:val="0"/>
        </w:rPr>
        <w:t xml:space="preserve">Why Safe Air Matters to Everyone</w:t>
      </w:r>
    </w:p>
    <w:p w:rsidR="00000000" w:rsidDel="00000000" w:rsidP="00000000" w:rsidRDefault="00000000" w:rsidRPr="00000000" w14:paraId="00000012">
      <w:pPr>
        <w:rPr/>
      </w:pPr>
      <w:r w:rsidDel="00000000" w:rsidR="00000000" w:rsidRPr="00000000">
        <w:rPr>
          <w:rtl w:val="0"/>
        </w:rPr>
        <w:t xml:space="preserve">MCS is not a niche issue. Many people—including those with asthma, COPD, migraines, dermatitis, autism, long COVID, and other conditions—are affected by fragranced and chemical exposures. Safe indoor air benefits entire communities.</w:t>
      </w:r>
    </w:p>
    <w:p w:rsidR="00000000" w:rsidDel="00000000" w:rsidP="00000000" w:rsidRDefault="00000000" w:rsidRPr="00000000" w14:paraId="00000013">
      <w:pPr>
        <w:pStyle w:val="Heading2"/>
        <w:rPr/>
      </w:pPr>
      <w:r w:rsidDel="00000000" w:rsidR="00000000" w:rsidRPr="00000000">
        <w:rPr>
          <w:rtl w:val="0"/>
        </w:rPr>
        <w:t xml:space="preserve">Learn More &amp; Get Involved</w:t>
      </w:r>
    </w:p>
    <w:p w:rsidR="00000000" w:rsidDel="00000000" w:rsidP="00000000" w:rsidRDefault="00000000" w:rsidRPr="00000000" w14:paraId="00000014">
      <w:pPr>
        <w:rPr/>
      </w:pPr>
      <w:r w:rsidDel="00000000" w:rsidR="00000000" w:rsidRPr="00000000">
        <w:rPr>
          <w:rtl w:val="0"/>
        </w:rPr>
        <w:t xml:space="preserve">Visit our website for advocacy letters, templates, resources, social media tools and other ways to take action. Use your voice to help ensure the UN’s findings lead to meaningful action in Canada.</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eq-ehaq.ca/wp-content/uploads/2025/04/CRPD_C_CAN_CO_2-3_62720_E.pd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zd8KNsrIOlPueikZ9O3XvTfBWA==">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2026-02-14T00:48:00Z</dcterms:created>
  <dc:creator>python-docx</dc:creator>
</cp:coreProperties>
</file>