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– TEMPLATE LETTER A1 –</w:t>
      </w:r>
    </w:p>
    <w:p w:rsidR="00000000" w:rsidDel="00000000" w:rsidP="00000000" w:rsidRDefault="00000000" w:rsidRPr="00000000" w14:paraId="00000002">
      <w:pPr>
        <w:pStyle w:val="Heading3"/>
        <w:spacing w:after="280" w:line="240" w:lineRule="auto"/>
        <w:rPr>
          <w:color w:val="000000"/>
        </w:rPr>
      </w:pPr>
      <w:bookmarkStart w:colFirst="0" w:colLast="0" w:name="_heading=h.vf0q0zczicq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after="280" w:line="240" w:lineRule="auto"/>
        <w:rPr>
          <w:b w:val="1"/>
          <w:bCs w:val="1"/>
          <w:color w:val="000000"/>
        </w:rPr>
      </w:pPr>
      <w:bookmarkStart w:colFirst="0" w:colLast="0" w:name="_heading=h.ihmox7ou7d04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Request for a Fragrance-Free, Lowest-Emission Care Environment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Request for Fragrance-Free and Lowest-Emission Accommodations for Medical Appointments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[Name of healthcare provider or clinic],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writing to request disability-related accommodations for my upcoming appointments. I live with Multiple Chemical Sensitivity (MCS), a recognized disability where exposure to fragranced or high VOC-emission products ― including perfumes, personal products, cleaning agents, laundry products, and air fresheners ― can trigger severe physical symptoms.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receive safe and equitable care, I respectfully request: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fragrance-free and lowest-emission clinical environment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including avoidance of perfumes, scented products, air fresheners, and toxic chemical cleaners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least-toxic cleaning products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before my appointment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Advance notice if these accommodations cannot be met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notation in my medical file indicating that I require these accommodations for all future visits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March 2025,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United Nations Committee on the Rights of Persons with Disabilities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recognized that people with MCS in Canada face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persistent discrimination and stigma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Access to clinical environments that do not trigger symptoms is an accessibility need and a disability accommodation.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attention and for helping ensure that I can safely access your care.</w:t>
        <w:br w:type="textWrapping"/>
        <w:t xml:space="preserve">Please let me know if you need any additional information.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  <w:br w:type="textWrapping"/>
        <w:t xml:space="preserve">[Your Name]</w:t>
        <w:br w:type="textWrapping"/>
        <w:t xml:space="preserve">[Phone]</w:t>
        <w:br w:type="textWrapping"/>
        <w:t xml:space="preserve">[Email]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Robins, S., Molot, J., &amp; Peris, R. (2026). Prevalence of Multiple Chemical Sensitivity in Canada Between 2000 and 2020.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23(2), 236. https://doi.org/10.3390/ijerph23020236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Yousufzai, S. J., Psaradellis, E., Peris, R., &amp; Barakat, C. (2025). A Qualitative Exploration of Policy, Institutional, and Social Misconceptions Faced by Individuals with Multiple Chemical Sensitivity.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22(9), 1383. https://doi.org/10.3390/ijerph22091383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Vangala, K., Molot, J., Trifunovski, A., &amp; Peris, R. (2026). From Invisibility to Inclusion: Evidence, Lived Experience, and Policy Directions for Multiple Chemical Sensitivity Report from the Resilience 2025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Conference. International Journal of Environmental Research and Public Health,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23(3), 280. https://doi.org/10.3390/ijerph23030280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54D0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54D0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54D0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54D0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54D0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54D0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54D0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54D0F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54D0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54D0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54D0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54D0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54D0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54D0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54D0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54D0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54D0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54D0F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54D0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4D0F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54D0F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fPF2vhlpomQaEQvTJvxVabuUw==">CgMxLjAyDmgudmYwcTB6Y3ppY3EyMg5oLmlobW94N291N2QwNDgAciExUXp4U2pKRzJLZDY2b0NMcDQ0dXdESGtSNklvVDR5S18=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2026-02-14T00:52:00Z</dcterms:created>
  <dc:creator>ASEQ EHAQ</dc:creator>
</cp:coreProperties>
</file>